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6D" w:rsidRPr="00EE536D" w:rsidRDefault="00EE536D" w:rsidP="00E819E5">
      <w:pPr>
        <w:spacing w:before="60" w:after="60" w:line="276" w:lineRule="auto"/>
        <w:ind w:firstLine="720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  <w:r w:rsidRPr="00EE536D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L62: Annual General Mandate</w:t>
      </w:r>
    </w:p>
    <w:p w:rsidR="00DD184D" w:rsidRPr="00C02F2C" w:rsidRDefault="00DD184D" w:rsidP="00E819E5">
      <w:pPr>
        <w:spacing w:before="60" w:after="60" w:line="276" w:lineRule="auto"/>
        <w:ind w:firstLine="7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02F2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On 29 April 2017, </w:t>
      </w:r>
      <w:r w:rsidRPr="00C02F2C">
        <w:rPr>
          <w:rFonts w:ascii="Arial" w:hAnsi="Arial" w:cs="Arial"/>
          <w:sz w:val="20"/>
          <w:szCs w:val="20"/>
          <w:lang w:val="en"/>
        </w:rPr>
        <w:t>Lilama Corporation – Lilama 69-2 Joint Stock Company</w:t>
      </w:r>
      <w:r w:rsidRPr="00C02F2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EE536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announced the </w:t>
      </w:r>
      <w:r w:rsidR="00EE536D" w:rsidRPr="00EE536D">
        <w:rPr>
          <w:rFonts w:ascii="Arial" w:hAnsi="Arial" w:cs="Arial"/>
          <w:color w:val="222222"/>
          <w:sz w:val="20"/>
          <w:szCs w:val="20"/>
          <w:shd w:val="clear" w:color="auto" w:fill="FFFFFF"/>
        </w:rPr>
        <w:t>Annual General Mandate as follows:</w:t>
      </w:r>
    </w:p>
    <w:p w:rsidR="00DD184D" w:rsidRPr="00DD184D" w:rsidRDefault="00DD184D" w:rsidP="00E819E5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702089" w:rsidRPr="00C2379C" w:rsidRDefault="005B77F3" w:rsidP="00E819E5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  <w:lang w:val="en"/>
        </w:rPr>
      </w:pPr>
      <w:r w:rsidRPr="00C2379C">
        <w:rPr>
          <w:rFonts w:ascii="Arial" w:hAnsi="Arial" w:cs="Arial"/>
          <w:b/>
          <w:sz w:val="20"/>
          <w:szCs w:val="20"/>
          <w:u w:val="single"/>
          <w:lang w:val="en"/>
        </w:rPr>
        <w:t>Article 1:</w:t>
      </w:r>
      <w:r w:rsidR="002A7905" w:rsidRPr="00C2379C">
        <w:rPr>
          <w:rFonts w:ascii="Arial" w:hAnsi="Arial" w:cs="Arial"/>
          <w:b/>
          <w:sz w:val="20"/>
          <w:szCs w:val="20"/>
          <w:lang w:val="en"/>
        </w:rPr>
        <w:t xml:space="preserve"> Approve the operation report</w:t>
      </w:r>
      <w:r w:rsidRPr="00C2379C">
        <w:rPr>
          <w:rFonts w:ascii="Arial" w:hAnsi="Arial" w:cs="Arial"/>
          <w:b/>
          <w:sz w:val="20"/>
          <w:szCs w:val="20"/>
          <w:lang w:val="en"/>
        </w:rPr>
        <w:t xml:space="preserve"> of the Board of </w:t>
      </w:r>
      <w:r w:rsidRPr="00FB6791">
        <w:rPr>
          <w:rFonts w:ascii="Arial" w:hAnsi="Arial" w:cs="Arial"/>
          <w:b/>
          <w:sz w:val="20"/>
          <w:szCs w:val="20"/>
          <w:lang w:val="en"/>
        </w:rPr>
        <w:t>Directors in 2016</w:t>
      </w:r>
      <w:r w:rsidRPr="00C2379C">
        <w:rPr>
          <w:rFonts w:ascii="Arial" w:hAnsi="Arial" w:cs="Arial"/>
          <w:b/>
          <w:sz w:val="20"/>
          <w:szCs w:val="20"/>
          <w:lang w:val="en"/>
        </w:rPr>
        <w:t xml:space="preserve">; Report </w:t>
      </w:r>
      <w:r w:rsidR="002A7905" w:rsidRPr="00C2379C">
        <w:rPr>
          <w:rFonts w:ascii="Arial" w:hAnsi="Arial" w:cs="Arial"/>
          <w:b/>
          <w:sz w:val="20"/>
          <w:szCs w:val="20"/>
          <w:lang w:val="en"/>
        </w:rPr>
        <w:t xml:space="preserve">of </w:t>
      </w:r>
      <w:r w:rsidR="002A7905" w:rsidRPr="00C2379C">
        <w:rPr>
          <w:rFonts w:ascii="Arial" w:eastAsia="Times New Roman" w:hAnsi="Arial" w:cs="Arial"/>
          <w:b/>
          <w:sz w:val="20"/>
          <w:szCs w:val="20"/>
          <w:lang w:val="en"/>
        </w:rPr>
        <w:t>production, business and investment</w:t>
      </w:r>
      <w:r w:rsidR="002A7905" w:rsidRPr="00C2379C">
        <w:rPr>
          <w:rFonts w:ascii="Arial" w:hAnsi="Arial" w:cs="Arial"/>
          <w:b/>
          <w:sz w:val="20"/>
          <w:szCs w:val="20"/>
          <w:lang w:val="en"/>
        </w:rPr>
        <w:t xml:space="preserve"> in 2016; the plan of</w:t>
      </w:r>
      <w:r w:rsidRPr="00C2379C">
        <w:rPr>
          <w:rFonts w:ascii="Arial" w:hAnsi="Arial" w:cs="Arial"/>
          <w:b/>
          <w:sz w:val="20"/>
          <w:szCs w:val="20"/>
          <w:lang w:val="en"/>
        </w:rPr>
        <w:t xml:space="preserve"> 2017 and the report of the Board of Supervisors wi</w:t>
      </w:r>
      <w:r w:rsidR="00702089" w:rsidRPr="00C2379C">
        <w:rPr>
          <w:rFonts w:ascii="Arial" w:hAnsi="Arial" w:cs="Arial"/>
          <w:b/>
          <w:sz w:val="20"/>
          <w:szCs w:val="20"/>
          <w:lang w:val="en"/>
        </w:rPr>
        <w:t>th the following main contents:</w:t>
      </w:r>
    </w:p>
    <w:p w:rsidR="003B1C54" w:rsidRPr="00C2379C" w:rsidRDefault="005B77F3" w:rsidP="00E819E5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C2379C">
        <w:rPr>
          <w:rFonts w:ascii="Arial" w:hAnsi="Arial" w:cs="Arial"/>
          <w:b/>
          <w:sz w:val="20"/>
          <w:szCs w:val="20"/>
          <w:lang w:val="en"/>
        </w:rPr>
        <w:t xml:space="preserve">1. Production and business results in 2016 (the following basic </w:t>
      </w:r>
      <w:r w:rsidR="00C91DAE">
        <w:rPr>
          <w:rFonts w:ascii="Arial" w:hAnsi="Arial" w:cs="Arial"/>
          <w:b/>
          <w:sz w:val="20"/>
          <w:szCs w:val="20"/>
          <w:lang w:val="en"/>
        </w:rPr>
        <w:t>Category</w:t>
      </w:r>
      <w:r w:rsidRPr="00C2379C">
        <w:rPr>
          <w:rFonts w:ascii="Arial" w:hAnsi="Arial" w:cs="Arial"/>
          <w:b/>
          <w:sz w:val="20"/>
          <w:szCs w:val="20"/>
          <w:lang w:val="en"/>
        </w:rPr>
        <w:t>s):</w:t>
      </w:r>
    </w:p>
    <w:tbl>
      <w:tblPr>
        <w:tblpPr w:leftFromText="180" w:rightFromText="180" w:vertAnchor="text" w:tblpX="216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685"/>
        <w:gridCol w:w="1080"/>
        <w:gridCol w:w="1080"/>
        <w:gridCol w:w="1980"/>
        <w:gridCol w:w="1800"/>
      </w:tblGrid>
      <w:tr w:rsidR="00A84665" w:rsidRPr="00550615" w:rsidTr="00D0213A">
        <w:tc>
          <w:tcPr>
            <w:tcW w:w="483" w:type="dxa"/>
            <w:shd w:val="clear" w:color="auto" w:fill="auto"/>
            <w:vAlign w:val="center"/>
          </w:tcPr>
          <w:p w:rsidR="00702089" w:rsidRPr="00550615" w:rsidRDefault="00A84665" w:rsidP="00C237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61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702089" w:rsidRPr="00550615" w:rsidRDefault="00C91DAE" w:rsidP="00C237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Category</w:t>
            </w:r>
            <w:r w:rsidR="00702089" w:rsidRPr="00550615">
              <w:rPr>
                <w:rFonts w:ascii="Arial" w:hAnsi="Arial" w:cs="Arial"/>
                <w:b/>
                <w:sz w:val="20"/>
                <w:szCs w:val="20"/>
                <w:lang w:val="en"/>
              </w:rPr>
              <w:br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02089" w:rsidRPr="00550615" w:rsidRDefault="004A6AD4" w:rsidP="00C237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615">
              <w:rPr>
                <w:rFonts w:ascii="Arial" w:hAnsi="Arial" w:cs="Arial"/>
                <w:b/>
                <w:sz w:val="20"/>
                <w:szCs w:val="20"/>
              </w:rPr>
              <w:t>Unit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02089" w:rsidRPr="00550615" w:rsidRDefault="00702089" w:rsidP="00C237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615">
              <w:rPr>
                <w:rFonts w:ascii="Arial" w:hAnsi="Arial" w:cs="Arial"/>
                <w:b/>
                <w:sz w:val="20"/>
                <w:szCs w:val="20"/>
              </w:rPr>
              <w:t>Plan for 2016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02089" w:rsidRPr="00550615" w:rsidRDefault="00550615" w:rsidP="00C237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615">
              <w:rPr>
                <w:rFonts w:ascii="Arial" w:hAnsi="Arial" w:cs="Arial"/>
                <w:b/>
                <w:sz w:val="20"/>
                <w:szCs w:val="20"/>
              </w:rPr>
              <w:t>Implementa</w:t>
            </w:r>
            <w:r w:rsidR="004A6AD4" w:rsidRPr="00550615">
              <w:rPr>
                <w:rFonts w:ascii="Arial" w:hAnsi="Arial" w:cs="Arial"/>
                <w:b/>
                <w:sz w:val="20"/>
                <w:szCs w:val="20"/>
              </w:rPr>
              <w:t xml:space="preserve">tion in </w:t>
            </w:r>
            <w:r w:rsidR="00702089" w:rsidRPr="00550615">
              <w:rPr>
                <w:rFonts w:ascii="Arial" w:hAnsi="Arial" w:cs="Arial"/>
                <w:b/>
                <w:sz w:val="20"/>
                <w:szCs w:val="20"/>
              </w:rPr>
              <w:t xml:space="preserve">2016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02089" w:rsidRPr="00550615" w:rsidRDefault="00A84665" w:rsidP="00C237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615">
              <w:rPr>
                <w:rFonts w:ascii="Arial" w:hAnsi="Arial" w:cs="Arial"/>
                <w:b/>
                <w:sz w:val="20"/>
                <w:szCs w:val="20"/>
              </w:rPr>
              <w:t xml:space="preserve">Rate of </w:t>
            </w:r>
            <w:r w:rsidR="00550615" w:rsidRPr="00550615">
              <w:rPr>
                <w:rFonts w:ascii="Arial" w:hAnsi="Arial" w:cs="Arial"/>
                <w:b/>
                <w:sz w:val="20"/>
                <w:szCs w:val="20"/>
              </w:rPr>
              <w:t>implementatio</w:t>
            </w:r>
            <w:r w:rsidR="00550615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5061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02089" w:rsidRPr="00550615">
              <w:rPr>
                <w:rFonts w:ascii="Arial" w:hAnsi="Arial" w:cs="Arial"/>
                <w:b/>
                <w:sz w:val="20"/>
                <w:szCs w:val="20"/>
              </w:rPr>
              <w:t>plan 2016</w:t>
            </w:r>
          </w:p>
        </w:tc>
      </w:tr>
      <w:tr w:rsidR="00A84665" w:rsidRPr="00550615" w:rsidTr="00D0213A">
        <w:tc>
          <w:tcPr>
            <w:tcW w:w="483" w:type="dxa"/>
            <w:shd w:val="clear" w:color="auto" w:fill="auto"/>
            <w:vAlign w:val="center"/>
          </w:tcPr>
          <w:p w:rsidR="005B77F3" w:rsidRPr="00550615" w:rsidRDefault="005B77F3" w:rsidP="00C237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5B77F3" w:rsidRPr="00550615" w:rsidRDefault="005B77F3" w:rsidP="00D021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  <w:lang w:val="en"/>
              </w:rPr>
              <w:br/>
            </w:r>
            <w:r w:rsidR="00D0213A">
              <w:rPr>
                <w:rFonts w:ascii="Arial" w:hAnsi="Arial" w:cs="Arial"/>
                <w:sz w:val="20"/>
                <w:szCs w:val="20"/>
                <w:lang w:val="en"/>
              </w:rPr>
              <w:t>T</w:t>
            </w:r>
            <w:r w:rsidRPr="00550615">
              <w:rPr>
                <w:rFonts w:ascii="Arial" w:hAnsi="Arial" w:cs="Arial"/>
                <w:sz w:val="20"/>
                <w:szCs w:val="20"/>
                <w:lang w:val="en"/>
              </w:rPr>
              <w:t>otal assets</w:t>
            </w:r>
            <w:r w:rsidR="00D0213A" w:rsidRPr="00550615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D0213A">
              <w:rPr>
                <w:rFonts w:ascii="Arial" w:hAnsi="Arial" w:cs="Arial"/>
                <w:sz w:val="20"/>
                <w:szCs w:val="20"/>
                <w:lang w:val="en"/>
              </w:rPr>
              <w:t>v</w:t>
            </w:r>
            <w:r w:rsidR="00D0213A" w:rsidRPr="00550615">
              <w:rPr>
                <w:rFonts w:ascii="Arial" w:hAnsi="Arial" w:cs="Arial"/>
                <w:sz w:val="20"/>
                <w:szCs w:val="20"/>
                <w:lang w:val="en"/>
              </w:rPr>
              <w:t>alue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7F3" w:rsidRPr="00550615" w:rsidRDefault="00C4658C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A84665" w:rsidRPr="00550615" w:rsidTr="00D0213A">
        <w:tc>
          <w:tcPr>
            <w:tcW w:w="483" w:type="dxa"/>
            <w:shd w:val="clear" w:color="auto" w:fill="auto"/>
            <w:vAlign w:val="center"/>
          </w:tcPr>
          <w:p w:rsidR="005B77F3" w:rsidRPr="00550615" w:rsidRDefault="005B77F3" w:rsidP="00C237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5B77F3" w:rsidRPr="00550615" w:rsidRDefault="005B77F3" w:rsidP="00C237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  <w:lang w:val="en"/>
              </w:rPr>
              <w:t>Revenue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7F3" w:rsidRPr="00550615" w:rsidRDefault="00C4658C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338,37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96,02%</w:t>
            </w:r>
          </w:p>
        </w:tc>
      </w:tr>
      <w:tr w:rsidR="00A84665" w:rsidRPr="00550615" w:rsidTr="00D0213A">
        <w:tc>
          <w:tcPr>
            <w:tcW w:w="483" w:type="dxa"/>
            <w:shd w:val="clear" w:color="auto" w:fill="auto"/>
            <w:vAlign w:val="center"/>
          </w:tcPr>
          <w:p w:rsidR="005B77F3" w:rsidRPr="00550615" w:rsidRDefault="005B77F3" w:rsidP="00C237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5B77F3" w:rsidRPr="00550615" w:rsidRDefault="005B77F3" w:rsidP="00C237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  <w:lang w:val="en"/>
              </w:rPr>
              <w:t>Profit before tax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7F3" w:rsidRPr="00550615" w:rsidRDefault="00C4658C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4,83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115%</w:t>
            </w:r>
          </w:p>
        </w:tc>
      </w:tr>
      <w:tr w:rsidR="00A84665" w:rsidRPr="00550615" w:rsidTr="00D0213A">
        <w:tc>
          <w:tcPr>
            <w:tcW w:w="483" w:type="dxa"/>
            <w:shd w:val="clear" w:color="auto" w:fill="auto"/>
            <w:vAlign w:val="center"/>
          </w:tcPr>
          <w:p w:rsidR="005B77F3" w:rsidRPr="00550615" w:rsidRDefault="005B77F3" w:rsidP="00C237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5B77F3" w:rsidRPr="00550615" w:rsidRDefault="005B77F3" w:rsidP="00C237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  <w:lang w:val="en"/>
              </w:rPr>
              <w:t>Payables to the Budget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7F3" w:rsidRPr="00550615" w:rsidRDefault="00C4658C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18,85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125,7%</w:t>
            </w:r>
          </w:p>
        </w:tc>
      </w:tr>
      <w:tr w:rsidR="00A84665" w:rsidRPr="00550615" w:rsidTr="00D0213A">
        <w:tc>
          <w:tcPr>
            <w:tcW w:w="483" w:type="dxa"/>
            <w:shd w:val="clear" w:color="auto" w:fill="auto"/>
            <w:vAlign w:val="center"/>
          </w:tcPr>
          <w:p w:rsidR="005B77F3" w:rsidRPr="00550615" w:rsidRDefault="005B77F3" w:rsidP="00C237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5B77F3" w:rsidRPr="00550615" w:rsidRDefault="00613FF1" w:rsidP="00C237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  <w:lang w:val="en"/>
              </w:rPr>
              <w:t>Profit/</w:t>
            </w:r>
            <w:r w:rsidR="00C2379C" w:rsidRPr="00550615">
              <w:rPr>
                <w:rFonts w:ascii="Arial" w:hAnsi="Arial" w:cs="Arial"/>
                <w:sz w:val="20"/>
                <w:szCs w:val="20"/>
                <w:lang w:val="en"/>
              </w:rPr>
              <w:t xml:space="preserve">turnover </w:t>
            </w:r>
            <w:r w:rsidRPr="00550615">
              <w:rPr>
                <w:rFonts w:ascii="Arial" w:hAnsi="Arial" w:cs="Arial"/>
                <w:sz w:val="20"/>
                <w:szCs w:val="20"/>
                <w:lang w:val="en"/>
              </w:rPr>
              <w:t>ratio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1,19%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1,43%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120,17%</w:t>
            </w:r>
          </w:p>
        </w:tc>
      </w:tr>
      <w:tr w:rsidR="00A84665" w:rsidRPr="00550615" w:rsidTr="00D0213A">
        <w:tc>
          <w:tcPr>
            <w:tcW w:w="483" w:type="dxa"/>
            <w:shd w:val="clear" w:color="auto" w:fill="auto"/>
            <w:vAlign w:val="center"/>
          </w:tcPr>
          <w:p w:rsidR="005B77F3" w:rsidRPr="00550615" w:rsidRDefault="005B77F3" w:rsidP="00C237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5B77F3" w:rsidRPr="00550615" w:rsidRDefault="00613FF1" w:rsidP="00C2379C">
            <w:pPr>
              <w:ind w:left="-650" w:firstLine="6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  <w:lang w:val="en"/>
              </w:rPr>
              <w:t>Profit/chartered</w:t>
            </w:r>
            <w:r w:rsidR="00C2379C" w:rsidRPr="00550615">
              <w:rPr>
                <w:rFonts w:ascii="Arial" w:hAnsi="Arial" w:cs="Arial"/>
                <w:sz w:val="20"/>
                <w:szCs w:val="20"/>
                <w:lang w:val="en"/>
              </w:rPr>
              <w:t xml:space="preserve"> capital </w:t>
            </w:r>
            <w:r w:rsidRPr="00550615">
              <w:rPr>
                <w:rFonts w:ascii="Arial" w:hAnsi="Arial" w:cs="Arial"/>
                <w:sz w:val="20"/>
                <w:szCs w:val="20"/>
                <w:lang w:val="en"/>
              </w:rPr>
              <w:t>ratio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7,31%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8,42%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115,18%</w:t>
            </w:r>
          </w:p>
        </w:tc>
      </w:tr>
      <w:tr w:rsidR="00A84665" w:rsidRPr="00550615" w:rsidTr="00D0213A">
        <w:tc>
          <w:tcPr>
            <w:tcW w:w="483" w:type="dxa"/>
            <w:shd w:val="clear" w:color="auto" w:fill="auto"/>
            <w:vAlign w:val="center"/>
          </w:tcPr>
          <w:p w:rsidR="005B77F3" w:rsidRPr="00550615" w:rsidRDefault="005B77F3" w:rsidP="00C237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5B77F3" w:rsidRPr="00550615" w:rsidRDefault="005B77F3" w:rsidP="00C237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  <w:lang w:val="en"/>
              </w:rPr>
              <w:t>Dividend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2%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77F3" w:rsidRPr="00550615" w:rsidRDefault="005B77F3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:rsidR="00C2379C" w:rsidRDefault="00C2379C" w:rsidP="00C2379C">
      <w:pPr>
        <w:spacing w:before="60" w:after="60" w:line="276" w:lineRule="auto"/>
        <w:ind w:left="720"/>
        <w:jc w:val="both"/>
        <w:rPr>
          <w:rFonts w:ascii="Arial" w:hAnsi="Arial" w:cs="Arial"/>
          <w:b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br w:type="textWrapping" w:clear="all"/>
      </w:r>
      <w:r w:rsidR="008B72B6" w:rsidRPr="00C2379C">
        <w:rPr>
          <w:rFonts w:ascii="Arial" w:hAnsi="Arial" w:cs="Arial"/>
          <w:b/>
          <w:sz w:val="20"/>
          <w:szCs w:val="20"/>
          <w:lang w:val="en"/>
        </w:rPr>
        <w:t>2. Re</w:t>
      </w:r>
      <w:r w:rsidR="00C4658C" w:rsidRPr="00C2379C">
        <w:rPr>
          <w:rFonts w:ascii="Arial" w:hAnsi="Arial" w:cs="Arial"/>
          <w:b/>
          <w:sz w:val="20"/>
          <w:szCs w:val="20"/>
          <w:lang w:val="en"/>
        </w:rPr>
        <w:t>garding development investment:</w:t>
      </w:r>
    </w:p>
    <w:p w:rsidR="004248C5" w:rsidRPr="004248C5" w:rsidRDefault="00C2379C" w:rsidP="004248C5">
      <w:pPr>
        <w:tabs>
          <w:tab w:val="left" w:pos="1080"/>
        </w:tabs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4248C5">
        <w:rPr>
          <w:rFonts w:ascii="Arial" w:hAnsi="Arial" w:cs="Arial"/>
          <w:sz w:val="20"/>
          <w:szCs w:val="20"/>
          <w:lang w:val="en"/>
        </w:rPr>
        <w:t>-</w:t>
      </w:r>
      <w:r w:rsidR="008B72B6" w:rsidRPr="004248C5">
        <w:rPr>
          <w:rFonts w:ascii="Arial" w:hAnsi="Arial" w:cs="Arial"/>
          <w:sz w:val="20"/>
          <w:szCs w:val="20"/>
          <w:lang w:val="en"/>
        </w:rPr>
        <w:t xml:space="preserve">The investment </w:t>
      </w:r>
      <w:r w:rsidRPr="004248C5">
        <w:rPr>
          <w:rFonts w:ascii="Arial" w:hAnsi="Arial" w:cs="Arial"/>
          <w:sz w:val="20"/>
          <w:szCs w:val="20"/>
          <w:lang w:val="en"/>
        </w:rPr>
        <w:t>plan for 2016 is VND 20 billion.</w:t>
      </w:r>
    </w:p>
    <w:p w:rsidR="00C2379C" w:rsidRPr="008975FC" w:rsidRDefault="004248C5" w:rsidP="004248C5">
      <w:pPr>
        <w:tabs>
          <w:tab w:val="left" w:pos="1080"/>
        </w:tabs>
        <w:spacing w:before="60" w:after="60" w:line="276" w:lineRule="auto"/>
        <w:ind w:firstLine="720"/>
        <w:jc w:val="both"/>
        <w:rPr>
          <w:rFonts w:ascii="Arial" w:hAnsi="Arial" w:cs="Arial"/>
          <w:color w:val="FF0000"/>
          <w:sz w:val="20"/>
          <w:szCs w:val="20"/>
          <w:lang w:val="en"/>
        </w:rPr>
      </w:pPr>
      <w:r w:rsidRPr="004248C5">
        <w:rPr>
          <w:rFonts w:ascii="Arial" w:hAnsi="Arial" w:cs="Arial"/>
          <w:sz w:val="20"/>
          <w:szCs w:val="20"/>
          <w:lang w:val="en"/>
        </w:rPr>
        <w:t>-The</w:t>
      </w:r>
      <w:r>
        <w:rPr>
          <w:rFonts w:ascii="Arial" w:hAnsi="Arial" w:cs="Arial"/>
          <w:sz w:val="20"/>
          <w:szCs w:val="20"/>
          <w:lang w:val="en"/>
        </w:rPr>
        <w:t xml:space="preserve"> Implementation in </w:t>
      </w:r>
      <w:r w:rsidRPr="008975FC">
        <w:rPr>
          <w:rFonts w:ascii="Arial" w:hAnsi="Arial" w:cs="Arial"/>
          <w:sz w:val="20"/>
          <w:szCs w:val="20"/>
          <w:lang w:val="en"/>
        </w:rPr>
        <w:t>2016 is VND 16,</w:t>
      </w:r>
      <w:r w:rsidR="008B72B6" w:rsidRPr="008975FC">
        <w:rPr>
          <w:rFonts w:ascii="Arial" w:hAnsi="Arial" w:cs="Arial"/>
          <w:sz w:val="20"/>
          <w:szCs w:val="20"/>
          <w:lang w:val="en"/>
        </w:rPr>
        <w:t xml:space="preserve">25 billion (Of which </w:t>
      </w:r>
      <w:r w:rsidR="008E4178" w:rsidRPr="008975FC">
        <w:rPr>
          <w:rFonts w:ascii="Arial" w:hAnsi="Arial" w:cs="Arial"/>
          <w:sz w:val="20"/>
          <w:szCs w:val="20"/>
          <w:lang w:val="en"/>
        </w:rPr>
        <w:t>VND 3,</w:t>
      </w:r>
      <w:r w:rsidR="008B72B6" w:rsidRPr="008975FC">
        <w:rPr>
          <w:rFonts w:ascii="Arial" w:hAnsi="Arial" w:cs="Arial"/>
          <w:sz w:val="20"/>
          <w:szCs w:val="20"/>
          <w:lang w:val="en"/>
        </w:rPr>
        <w:t>85 billion is</w:t>
      </w:r>
      <w:r w:rsidR="00465E3E" w:rsidRPr="008975FC">
        <w:rPr>
          <w:rFonts w:ascii="Arial" w:hAnsi="Arial" w:cs="Arial"/>
          <w:sz w:val="20"/>
          <w:szCs w:val="20"/>
          <w:lang w:val="en"/>
        </w:rPr>
        <w:t xml:space="preserve"> of project</w:t>
      </w:r>
      <w:r w:rsidR="008B72B6" w:rsidRPr="008975FC">
        <w:rPr>
          <w:rFonts w:ascii="Arial" w:hAnsi="Arial" w:cs="Arial"/>
          <w:sz w:val="20"/>
          <w:szCs w:val="20"/>
          <w:lang w:val="en"/>
        </w:rPr>
        <w:t xml:space="preserve"> in 2015), including</w:t>
      </w:r>
      <w:r w:rsidR="00465E3E" w:rsidRPr="008975FC">
        <w:rPr>
          <w:rFonts w:ascii="Arial" w:hAnsi="Arial" w:cs="Arial"/>
          <w:sz w:val="20"/>
          <w:szCs w:val="20"/>
          <w:lang w:val="en"/>
        </w:rPr>
        <w:t>:</w:t>
      </w:r>
      <w:r w:rsidR="008B72B6" w:rsidRPr="008975FC">
        <w:rPr>
          <w:rFonts w:ascii="Arial" w:hAnsi="Arial" w:cs="Arial"/>
          <w:sz w:val="20"/>
          <w:szCs w:val="20"/>
          <w:lang w:val="en"/>
        </w:rPr>
        <w:t xml:space="preserve"> 5 tons crane, forklift, </w:t>
      </w:r>
      <w:r w:rsidR="008975FC" w:rsidRPr="008975FC">
        <w:rPr>
          <w:rFonts w:ascii="Arial" w:hAnsi="Arial" w:cs="Arial"/>
          <w:sz w:val="20"/>
          <w:szCs w:val="20"/>
          <w:lang w:val="en"/>
        </w:rPr>
        <w:t>peening machine for c</w:t>
      </w:r>
      <w:r w:rsidR="008B72B6" w:rsidRPr="008975FC">
        <w:rPr>
          <w:rFonts w:ascii="Arial" w:hAnsi="Arial" w:cs="Arial"/>
          <w:sz w:val="20"/>
          <w:szCs w:val="20"/>
          <w:lang w:val="en"/>
        </w:rPr>
        <w:t>leaning</w:t>
      </w:r>
      <w:r w:rsidR="008975FC" w:rsidRPr="008975FC">
        <w:rPr>
          <w:rFonts w:ascii="Arial" w:hAnsi="Arial" w:cs="Arial"/>
          <w:sz w:val="20"/>
          <w:szCs w:val="20"/>
          <w:lang w:val="en"/>
        </w:rPr>
        <w:t xml:space="preserve"> beam H</w:t>
      </w:r>
      <w:r w:rsidR="008B72B6" w:rsidRPr="008975FC">
        <w:rPr>
          <w:rFonts w:ascii="Arial" w:hAnsi="Arial" w:cs="Arial"/>
          <w:sz w:val="20"/>
          <w:szCs w:val="20"/>
          <w:lang w:val="en"/>
        </w:rPr>
        <w:t xml:space="preserve">, </w:t>
      </w:r>
      <w:r w:rsidR="008975FC" w:rsidRPr="008975FC">
        <w:rPr>
          <w:rFonts w:ascii="Arial" w:hAnsi="Arial" w:cs="Arial"/>
          <w:sz w:val="20"/>
          <w:szCs w:val="20"/>
          <w:lang w:val="en"/>
        </w:rPr>
        <w:t xml:space="preserve">bolt welding machine, </w:t>
      </w:r>
      <w:r w:rsidR="008B72B6" w:rsidRPr="008975FC">
        <w:rPr>
          <w:rFonts w:ascii="Arial" w:hAnsi="Arial" w:cs="Arial"/>
          <w:sz w:val="20"/>
          <w:szCs w:val="20"/>
          <w:lang w:val="en"/>
        </w:rPr>
        <w:t xml:space="preserve">digital cutting machine, 1500KVA </w:t>
      </w:r>
      <w:r w:rsidR="008975FC" w:rsidRPr="008975FC">
        <w:rPr>
          <w:rFonts w:ascii="Arial" w:hAnsi="Arial" w:cs="Arial"/>
          <w:sz w:val="20"/>
          <w:szCs w:val="20"/>
          <w:lang w:val="en"/>
        </w:rPr>
        <w:t>electrical substation</w:t>
      </w:r>
      <w:r w:rsidR="00702089" w:rsidRPr="008975FC">
        <w:rPr>
          <w:rFonts w:ascii="Arial" w:hAnsi="Arial" w:cs="Arial"/>
          <w:sz w:val="20"/>
          <w:szCs w:val="20"/>
          <w:lang w:val="en"/>
        </w:rPr>
        <w:t>, CNC drilling machine ...</w:t>
      </w:r>
    </w:p>
    <w:p w:rsidR="00E459B4" w:rsidRPr="00C2379C" w:rsidRDefault="00C2379C" w:rsidP="00C2379C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  <w:lang w:val="en"/>
        </w:rPr>
      </w:pPr>
      <w:r w:rsidRPr="00C2379C">
        <w:rPr>
          <w:rFonts w:ascii="Arial" w:hAnsi="Arial" w:cs="Arial"/>
          <w:b/>
          <w:sz w:val="20"/>
          <w:szCs w:val="20"/>
          <w:lang w:val="en"/>
        </w:rPr>
        <w:t>3</w:t>
      </w:r>
      <w:r w:rsidR="008B72B6" w:rsidRPr="00C2379C">
        <w:rPr>
          <w:rFonts w:ascii="Arial" w:hAnsi="Arial" w:cs="Arial"/>
          <w:b/>
          <w:sz w:val="20"/>
          <w:szCs w:val="20"/>
          <w:lang w:val="en"/>
        </w:rPr>
        <w:t>. Some targets for production and business in 2017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36"/>
        <w:gridCol w:w="1063"/>
        <w:gridCol w:w="1801"/>
        <w:gridCol w:w="900"/>
        <w:gridCol w:w="2340"/>
      </w:tblGrid>
      <w:tr w:rsidR="00650A82" w:rsidRPr="00550615" w:rsidTr="00D0213A">
        <w:tc>
          <w:tcPr>
            <w:tcW w:w="720" w:type="dxa"/>
            <w:shd w:val="clear" w:color="auto" w:fill="auto"/>
            <w:vAlign w:val="center"/>
          </w:tcPr>
          <w:p w:rsidR="00465E3E" w:rsidRPr="00550615" w:rsidRDefault="00465E3E" w:rsidP="00465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61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65E3E" w:rsidRPr="00550615" w:rsidRDefault="00C91DAE" w:rsidP="00465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Category</w:t>
            </w:r>
            <w:r w:rsidR="00465E3E" w:rsidRPr="00550615">
              <w:rPr>
                <w:rFonts w:ascii="Arial" w:hAnsi="Arial" w:cs="Arial"/>
                <w:b/>
                <w:sz w:val="20"/>
                <w:szCs w:val="20"/>
                <w:lang w:val="en"/>
              </w:rPr>
              <w:br/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5E3E" w:rsidRPr="00550615" w:rsidRDefault="00465E3E" w:rsidP="00465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615">
              <w:rPr>
                <w:rFonts w:ascii="Arial" w:hAnsi="Arial" w:cs="Arial"/>
                <w:b/>
                <w:sz w:val="20"/>
                <w:szCs w:val="20"/>
              </w:rPr>
              <w:t>Unit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465E3E" w:rsidRPr="00550615" w:rsidRDefault="00465E3E" w:rsidP="00465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615">
              <w:rPr>
                <w:rFonts w:ascii="Arial" w:hAnsi="Arial" w:cs="Arial"/>
                <w:b/>
                <w:sz w:val="20"/>
                <w:szCs w:val="20"/>
              </w:rPr>
              <w:t xml:space="preserve">Implementation in 2016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5E3E" w:rsidRPr="00550615" w:rsidRDefault="00465E3E" w:rsidP="00465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615">
              <w:rPr>
                <w:rFonts w:ascii="Arial" w:hAnsi="Arial" w:cs="Arial"/>
                <w:b/>
                <w:sz w:val="20"/>
                <w:szCs w:val="20"/>
              </w:rPr>
              <w:t>Plan for 2017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65E3E" w:rsidRPr="00550615" w:rsidRDefault="00465E3E" w:rsidP="00465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615">
              <w:rPr>
                <w:rFonts w:ascii="Arial" w:hAnsi="Arial" w:cs="Arial"/>
                <w:b/>
                <w:sz w:val="20"/>
                <w:szCs w:val="20"/>
              </w:rPr>
              <w:t xml:space="preserve">Rate of </w:t>
            </w:r>
            <w:r w:rsidR="00550615" w:rsidRPr="0055061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50A82" w:rsidRPr="00550615">
              <w:rPr>
                <w:rFonts w:ascii="Arial" w:hAnsi="Arial" w:cs="Arial"/>
                <w:b/>
                <w:sz w:val="20"/>
                <w:szCs w:val="20"/>
              </w:rPr>
              <w:t>lan</w:t>
            </w:r>
            <w:r w:rsidRPr="0055061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50A82" w:rsidRPr="00550615">
              <w:rPr>
                <w:rFonts w:ascii="Arial" w:hAnsi="Arial" w:cs="Arial"/>
                <w:b/>
                <w:sz w:val="20"/>
                <w:szCs w:val="20"/>
              </w:rPr>
              <w:t>Implementation</w:t>
            </w:r>
            <w:r w:rsidRPr="00550615">
              <w:rPr>
                <w:rFonts w:ascii="Arial" w:hAnsi="Arial" w:cs="Arial"/>
                <w:b/>
                <w:sz w:val="20"/>
                <w:szCs w:val="20"/>
              </w:rPr>
              <w:t xml:space="preserve"> 2016</w:t>
            </w:r>
          </w:p>
        </w:tc>
      </w:tr>
      <w:tr w:rsidR="00650A82" w:rsidRPr="00550615" w:rsidTr="00D0213A">
        <w:tc>
          <w:tcPr>
            <w:tcW w:w="720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  <w:lang w:val="en"/>
              </w:rPr>
              <w:br/>
              <w:t>Value of total assets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112,5%</w:t>
            </w:r>
          </w:p>
        </w:tc>
      </w:tr>
      <w:tr w:rsidR="00650A82" w:rsidRPr="00550615" w:rsidTr="00D0213A">
        <w:tc>
          <w:tcPr>
            <w:tcW w:w="720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  <w:lang w:val="en"/>
              </w:rPr>
              <w:t>Revenue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338,37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109,3%</w:t>
            </w:r>
          </w:p>
        </w:tc>
      </w:tr>
      <w:tr w:rsidR="00650A82" w:rsidRPr="00550615" w:rsidTr="00D0213A">
        <w:tc>
          <w:tcPr>
            <w:tcW w:w="720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  <w:lang w:val="en"/>
              </w:rPr>
              <w:t>Profit before tax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4,83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113,9%</w:t>
            </w:r>
          </w:p>
        </w:tc>
      </w:tr>
      <w:tr w:rsidR="00650A82" w:rsidRPr="00550615" w:rsidTr="00D0213A">
        <w:tc>
          <w:tcPr>
            <w:tcW w:w="720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  <w:lang w:val="en"/>
              </w:rPr>
              <w:t>Payables to the Budget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18,85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95,5%</w:t>
            </w:r>
          </w:p>
        </w:tc>
      </w:tr>
      <w:tr w:rsidR="00650A82" w:rsidRPr="00550615" w:rsidTr="00D0213A">
        <w:tc>
          <w:tcPr>
            <w:tcW w:w="720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  <w:lang w:val="en"/>
              </w:rPr>
              <w:t>Profit/turnover ratio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1,43%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1,49%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104,2%</w:t>
            </w:r>
          </w:p>
        </w:tc>
      </w:tr>
      <w:tr w:rsidR="00650A82" w:rsidRPr="00550615" w:rsidTr="00D0213A">
        <w:tc>
          <w:tcPr>
            <w:tcW w:w="720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  <w:lang w:val="en"/>
              </w:rPr>
              <w:t>Dividend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615">
              <w:rPr>
                <w:rFonts w:ascii="Arial" w:hAnsi="Arial" w:cs="Arial"/>
                <w:sz w:val="20"/>
                <w:szCs w:val="20"/>
              </w:rPr>
              <w:t>4%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50A82" w:rsidRPr="00550615" w:rsidRDefault="00650A82" w:rsidP="00650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65D5" w:rsidRPr="00702089" w:rsidRDefault="00E165D5" w:rsidP="000A401C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550615" w:rsidRPr="00550615" w:rsidRDefault="008975FC" w:rsidP="00E819E5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>4. B</w:t>
      </w:r>
      <w:r w:rsidR="008B72B6" w:rsidRPr="00550615">
        <w:rPr>
          <w:rFonts w:ascii="Arial" w:hAnsi="Arial" w:cs="Arial"/>
          <w:b/>
          <w:sz w:val="20"/>
          <w:szCs w:val="20"/>
          <w:lang w:val="en"/>
        </w:rPr>
        <w:t xml:space="preserve">asic </w:t>
      </w:r>
      <w:r w:rsidR="00550615" w:rsidRPr="00550615">
        <w:rPr>
          <w:rFonts w:ascii="Arial" w:hAnsi="Arial" w:cs="Arial"/>
          <w:b/>
          <w:sz w:val="20"/>
          <w:szCs w:val="20"/>
          <w:lang w:val="en"/>
        </w:rPr>
        <w:t>construction investment in 2017</w:t>
      </w:r>
    </w:p>
    <w:p w:rsidR="00550615" w:rsidRDefault="008B72B6" w:rsidP="00E819E5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E819E5">
        <w:rPr>
          <w:rFonts w:ascii="Arial" w:hAnsi="Arial" w:cs="Arial"/>
          <w:sz w:val="20"/>
          <w:szCs w:val="20"/>
          <w:lang w:val="en"/>
        </w:rPr>
        <w:lastRenderedPageBreak/>
        <w:t>- Transition pro</w:t>
      </w:r>
      <w:r w:rsidR="008975FC">
        <w:rPr>
          <w:rFonts w:ascii="Arial" w:hAnsi="Arial" w:cs="Arial"/>
          <w:sz w:val="20"/>
          <w:szCs w:val="20"/>
          <w:lang w:val="en"/>
        </w:rPr>
        <w:t>ject from 2016</w:t>
      </w:r>
      <w:r w:rsidR="00550615">
        <w:rPr>
          <w:rFonts w:ascii="Arial" w:hAnsi="Arial" w:cs="Arial"/>
          <w:sz w:val="20"/>
          <w:szCs w:val="20"/>
          <w:lang w:val="en"/>
        </w:rPr>
        <w:t xml:space="preserve">: </w:t>
      </w:r>
      <w:r w:rsidR="008975FC">
        <w:rPr>
          <w:rFonts w:ascii="Arial" w:hAnsi="Arial" w:cs="Arial"/>
          <w:sz w:val="20"/>
          <w:szCs w:val="20"/>
          <w:lang w:val="en"/>
        </w:rPr>
        <w:t>VND 7</w:t>
      </w:r>
      <w:proofErr w:type="gramStart"/>
      <w:r w:rsidR="008975FC">
        <w:rPr>
          <w:rFonts w:ascii="Arial" w:hAnsi="Arial" w:cs="Arial"/>
          <w:sz w:val="20"/>
          <w:szCs w:val="20"/>
          <w:lang w:val="en"/>
        </w:rPr>
        <w:t>,</w:t>
      </w:r>
      <w:r w:rsidR="00550615">
        <w:rPr>
          <w:rFonts w:ascii="Arial" w:hAnsi="Arial" w:cs="Arial"/>
          <w:sz w:val="20"/>
          <w:szCs w:val="20"/>
          <w:lang w:val="en"/>
        </w:rPr>
        <w:t>4</w:t>
      </w:r>
      <w:proofErr w:type="gramEnd"/>
      <w:r w:rsidR="00550615">
        <w:rPr>
          <w:rFonts w:ascii="Arial" w:hAnsi="Arial" w:cs="Arial"/>
          <w:sz w:val="20"/>
          <w:szCs w:val="20"/>
          <w:lang w:val="en"/>
        </w:rPr>
        <w:t xml:space="preserve"> billion.</w:t>
      </w:r>
    </w:p>
    <w:p w:rsidR="00550615" w:rsidRDefault="008B72B6" w:rsidP="00E819E5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E819E5">
        <w:rPr>
          <w:rFonts w:ascii="Arial" w:hAnsi="Arial" w:cs="Arial"/>
          <w:sz w:val="20"/>
          <w:szCs w:val="20"/>
          <w:lang w:val="en"/>
        </w:rPr>
        <w:t xml:space="preserve">- New investment project in 2017: </w:t>
      </w:r>
      <w:r w:rsidR="00D81385">
        <w:rPr>
          <w:rFonts w:ascii="Arial" w:hAnsi="Arial" w:cs="Arial"/>
          <w:sz w:val="20"/>
          <w:szCs w:val="20"/>
          <w:lang w:val="en"/>
        </w:rPr>
        <w:t>VND 20 billion. The General Meeting</w:t>
      </w:r>
      <w:r w:rsidRPr="00E819E5">
        <w:rPr>
          <w:rFonts w:ascii="Arial" w:hAnsi="Arial" w:cs="Arial"/>
          <w:sz w:val="20"/>
          <w:szCs w:val="20"/>
          <w:lang w:val="en"/>
        </w:rPr>
        <w:t xml:space="preserve"> of Shareholders au</w:t>
      </w:r>
      <w:r w:rsidR="00D81385">
        <w:rPr>
          <w:rFonts w:ascii="Arial" w:hAnsi="Arial" w:cs="Arial"/>
          <w:sz w:val="20"/>
          <w:szCs w:val="20"/>
          <w:lang w:val="en"/>
        </w:rPr>
        <w:t>thorizes the Board of Directors</w:t>
      </w:r>
      <w:r w:rsidRPr="00E819E5">
        <w:rPr>
          <w:rFonts w:ascii="Arial" w:hAnsi="Arial" w:cs="Arial"/>
          <w:sz w:val="20"/>
          <w:szCs w:val="20"/>
          <w:lang w:val="en"/>
        </w:rPr>
        <w:t xml:space="preserve"> to approve the investment procedures and adjust the project in </w:t>
      </w:r>
      <w:r w:rsidR="00550615">
        <w:rPr>
          <w:rFonts w:ascii="Arial" w:hAnsi="Arial" w:cs="Arial"/>
          <w:sz w:val="20"/>
          <w:szCs w:val="20"/>
          <w:lang w:val="en"/>
        </w:rPr>
        <w:t>accordance with regulations.</w:t>
      </w:r>
    </w:p>
    <w:p w:rsidR="00550615" w:rsidRPr="00536416" w:rsidRDefault="008B72B6" w:rsidP="00E819E5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  <w:lang w:val="en"/>
        </w:rPr>
      </w:pPr>
      <w:r w:rsidRPr="00536416">
        <w:rPr>
          <w:rFonts w:ascii="Arial" w:hAnsi="Arial" w:cs="Arial"/>
          <w:b/>
          <w:sz w:val="20"/>
          <w:szCs w:val="20"/>
          <w:u w:val="single"/>
          <w:lang w:val="en"/>
        </w:rPr>
        <w:t>Article 2:</w:t>
      </w:r>
      <w:r w:rsidRPr="00536416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="00536416">
        <w:rPr>
          <w:rFonts w:ascii="Arial" w:hAnsi="Arial" w:cs="Arial"/>
          <w:b/>
          <w:sz w:val="20"/>
          <w:szCs w:val="20"/>
          <w:lang w:val="en"/>
        </w:rPr>
        <w:t>Approve the</w:t>
      </w:r>
      <w:r w:rsidRPr="00536416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="00536416">
        <w:rPr>
          <w:rFonts w:ascii="Arial" w:hAnsi="Arial" w:cs="Arial"/>
          <w:b/>
          <w:sz w:val="20"/>
          <w:szCs w:val="20"/>
          <w:lang w:val="en"/>
        </w:rPr>
        <w:t>audited financial statements of</w:t>
      </w:r>
      <w:r w:rsidRPr="00536416">
        <w:rPr>
          <w:rFonts w:ascii="Arial" w:hAnsi="Arial" w:cs="Arial"/>
          <w:b/>
          <w:sz w:val="20"/>
          <w:szCs w:val="20"/>
          <w:lang w:val="en"/>
        </w:rPr>
        <w:t xml:space="preserve"> 2016,</w:t>
      </w:r>
      <w:r w:rsidR="00550615" w:rsidRPr="00536416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="00536416">
        <w:rPr>
          <w:rFonts w:ascii="Arial" w:hAnsi="Arial" w:cs="Arial"/>
          <w:b/>
          <w:sz w:val="20"/>
          <w:szCs w:val="20"/>
          <w:lang w:val="en"/>
        </w:rPr>
        <w:t xml:space="preserve">plan of profit distribution </w:t>
      </w:r>
      <w:r w:rsidR="00550615" w:rsidRPr="00536416">
        <w:rPr>
          <w:rFonts w:ascii="Arial" w:hAnsi="Arial" w:cs="Arial"/>
          <w:b/>
          <w:sz w:val="20"/>
          <w:szCs w:val="20"/>
          <w:lang w:val="en"/>
        </w:rPr>
        <w:t>2016.</w:t>
      </w:r>
    </w:p>
    <w:p w:rsidR="008B72B6" w:rsidRPr="00536416" w:rsidRDefault="008B72B6" w:rsidP="00E819E5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  <w:lang w:val="en"/>
        </w:rPr>
      </w:pPr>
      <w:r w:rsidRPr="00536416">
        <w:rPr>
          <w:rFonts w:ascii="Arial" w:hAnsi="Arial" w:cs="Arial"/>
          <w:b/>
          <w:sz w:val="20"/>
          <w:szCs w:val="20"/>
          <w:lang w:val="en"/>
        </w:rPr>
        <w:t>1. Some indicators in audited financial statement for 2016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1"/>
        <w:gridCol w:w="3679"/>
      </w:tblGrid>
      <w:tr w:rsidR="00536416" w:rsidRPr="00035D81">
        <w:tc>
          <w:tcPr>
            <w:tcW w:w="5501" w:type="dxa"/>
            <w:shd w:val="clear" w:color="auto" w:fill="auto"/>
          </w:tcPr>
          <w:p w:rsidR="00536416" w:rsidRPr="00035D81" w:rsidRDefault="00536416" w:rsidP="00084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D81">
              <w:rPr>
                <w:rFonts w:ascii="Arial" w:hAnsi="Arial" w:cs="Arial"/>
                <w:b/>
                <w:sz w:val="20"/>
                <w:szCs w:val="20"/>
                <w:lang w:val="en"/>
              </w:rPr>
              <w:t>Targets</w:t>
            </w:r>
          </w:p>
        </w:tc>
        <w:tc>
          <w:tcPr>
            <w:tcW w:w="3679" w:type="dxa"/>
            <w:shd w:val="clear" w:color="auto" w:fill="auto"/>
          </w:tcPr>
          <w:p w:rsidR="00536416" w:rsidRPr="00035D81" w:rsidRDefault="00084FC0" w:rsidP="00084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Surplus at 31 December, 2016 (VND)</w:t>
            </w:r>
          </w:p>
        </w:tc>
      </w:tr>
      <w:tr w:rsidR="00FC3359" w:rsidRPr="00035D81">
        <w:tc>
          <w:tcPr>
            <w:tcW w:w="5501" w:type="dxa"/>
            <w:shd w:val="clear" w:color="auto" w:fill="auto"/>
          </w:tcPr>
          <w:p w:rsidR="00FC3359" w:rsidRPr="00035D81" w:rsidRDefault="00FC3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5D81">
              <w:rPr>
                <w:rFonts w:ascii="Arial" w:hAnsi="Arial" w:cs="Arial"/>
                <w:b/>
                <w:sz w:val="20"/>
                <w:szCs w:val="20"/>
                <w:lang w:val="en"/>
              </w:rPr>
              <w:t>I. GENERAL ASSETS</w:t>
            </w:r>
          </w:p>
        </w:tc>
        <w:tc>
          <w:tcPr>
            <w:tcW w:w="3679" w:type="dxa"/>
            <w:shd w:val="clear" w:color="auto" w:fill="auto"/>
          </w:tcPr>
          <w:p w:rsidR="00FC3359" w:rsidRPr="00035D81" w:rsidRDefault="00FC3359" w:rsidP="00DA7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>517.417.316.705</w:t>
            </w:r>
          </w:p>
        </w:tc>
      </w:tr>
      <w:tr w:rsidR="00FC3359" w:rsidRPr="00035D81">
        <w:tc>
          <w:tcPr>
            <w:tcW w:w="5501" w:type="dxa"/>
            <w:shd w:val="clear" w:color="auto" w:fill="auto"/>
          </w:tcPr>
          <w:p w:rsidR="00FC3359" w:rsidRPr="00035D81" w:rsidRDefault="00FC3359">
            <w:pPr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  <w:lang w:val="en"/>
              </w:rPr>
              <w:t>1. Short-term assets</w:t>
            </w:r>
          </w:p>
        </w:tc>
        <w:tc>
          <w:tcPr>
            <w:tcW w:w="3679" w:type="dxa"/>
            <w:shd w:val="clear" w:color="auto" w:fill="auto"/>
          </w:tcPr>
          <w:p w:rsidR="00FC3359" w:rsidRPr="00035D81" w:rsidRDefault="00FC3359" w:rsidP="00DA7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>418.857.452.758</w:t>
            </w:r>
          </w:p>
        </w:tc>
      </w:tr>
      <w:tr w:rsidR="00FC3359" w:rsidRPr="00035D81">
        <w:tc>
          <w:tcPr>
            <w:tcW w:w="5501" w:type="dxa"/>
            <w:shd w:val="clear" w:color="auto" w:fill="auto"/>
          </w:tcPr>
          <w:p w:rsidR="00FC3359" w:rsidRPr="00035D81" w:rsidRDefault="00FC3359">
            <w:pPr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  <w:lang w:val="en"/>
              </w:rPr>
              <w:t>2. Long-term assets</w:t>
            </w:r>
          </w:p>
        </w:tc>
        <w:tc>
          <w:tcPr>
            <w:tcW w:w="3679" w:type="dxa"/>
            <w:shd w:val="clear" w:color="auto" w:fill="auto"/>
          </w:tcPr>
          <w:p w:rsidR="00FC3359" w:rsidRPr="00035D81" w:rsidRDefault="00FC3359" w:rsidP="00DA7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>98.559.863.947</w:t>
            </w:r>
          </w:p>
        </w:tc>
      </w:tr>
      <w:tr w:rsidR="00FC3359" w:rsidRPr="00035D81">
        <w:tc>
          <w:tcPr>
            <w:tcW w:w="5501" w:type="dxa"/>
            <w:shd w:val="clear" w:color="auto" w:fill="auto"/>
          </w:tcPr>
          <w:p w:rsidR="00FC3359" w:rsidRPr="00035D81" w:rsidRDefault="00DA7D17" w:rsidP="00FC3359">
            <w:pPr>
              <w:tabs>
                <w:tab w:val="left" w:pos="3193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5D81">
              <w:rPr>
                <w:rFonts w:ascii="Arial" w:hAnsi="Arial" w:cs="Arial"/>
                <w:b/>
                <w:sz w:val="20"/>
                <w:szCs w:val="20"/>
              </w:rPr>
              <w:t>II.TOTAL LIABILITIES AND OWNERS’EQUITY</w:t>
            </w:r>
          </w:p>
        </w:tc>
        <w:tc>
          <w:tcPr>
            <w:tcW w:w="3679" w:type="dxa"/>
            <w:shd w:val="clear" w:color="auto" w:fill="auto"/>
          </w:tcPr>
          <w:p w:rsidR="00FC3359" w:rsidRPr="00035D81" w:rsidRDefault="00FC3359" w:rsidP="00DA7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D81">
              <w:rPr>
                <w:rFonts w:ascii="Arial" w:hAnsi="Arial" w:cs="Arial"/>
                <w:b/>
                <w:sz w:val="20"/>
                <w:szCs w:val="20"/>
              </w:rPr>
              <w:t>517.417.316.705</w:t>
            </w:r>
          </w:p>
        </w:tc>
      </w:tr>
      <w:tr w:rsidR="006635E1" w:rsidRPr="00035D81">
        <w:tc>
          <w:tcPr>
            <w:tcW w:w="5501" w:type="dxa"/>
            <w:shd w:val="clear" w:color="auto" w:fill="auto"/>
          </w:tcPr>
          <w:p w:rsidR="006635E1" w:rsidRPr="00035D81" w:rsidRDefault="006635E1">
            <w:pPr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color w:val="141414"/>
                <w:sz w:val="20"/>
                <w:szCs w:val="20"/>
                <w:shd w:val="clear" w:color="auto" w:fill="FCFCFF"/>
              </w:rPr>
              <w:t>1. Liabilities</w:t>
            </w:r>
          </w:p>
        </w:tc>
        <w:tc>
          <w:tcPr>
            <w:tcW w:w="3679" w:type="dxa"/>
            <w:shd w:val="clear" w:color="auto" w:fill="auto"/>
          </w:tcPr>
          <w:p w:rsidR="006635E1" w:rsidRPr="00035D81" w:rsidRDefault="006635E1" w:rsidP="00DA7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>420.868.268.927</w:t>
            </w:r>
          </w:p>
        </w:tc>
      </w:tr>
      <w:tr w:rsidR="006635E1" w:rsidRPr="00035D81">
        <w:tc>
          <w:tcPr>
            <w:tcW w:w="5501" w:type="dxa"/>
            <w:shd w:val="clear" w:color="auto" w:fill="auto"/>
          </w:tcPr>
          <w:p w:rsidR="006635E1" w:rsidRPr="00035D81" w:rsidRDefault="006635E1">
            <w:pPr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  <w:lang w:val="en"/>
              </w:rPr>
              <w:t>a,Short-term debt</w:t>
            </w:r>
          </w:p>
        </w:tc>
        <w:tc>
          <w:tcPr>
            <w:tcW w:w="3679" w:type="dxa"/>
            <w:shd w:val="clear" w:color="auto" w:fill="auto"/>
          </w:tcPr>
          <w:p w:rsidR="006635E1" w:rsidRPr="00035D81" w:rsidRDefault="006635E1" w:rsidP="00DA7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>395.304.306.308</w:t>
            </w:r>
          </w:p>
        </w:tc>
      </w:tr>
      <w:tr w:rsidR="006635E1" w:rsidRPr="00035D81">
        <w:tc>
          <w:tcPr>
            <w:tcW w:w="5501" w:type="dxa"/>
            <w:shd w:val="clear" w:color="auto" w:fill="auto"/>
          </w:tcPr>
          <w:p w:rsidR="006635E1" w:rsidRPr="00035D81" w:rsidRDefault="006635E1">
            <w:pPr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  <w:lang w:val="en"/>
              </w:rPr>
              <w:t>b, Long-term debt</w:t>
            </w:r>
          </w:p>
        </w:tc>
        <w:tc>
          <w:tcPr>
            <w:tcW w:w="3679" w:type="dxa"/>
            <w:shd w:val="clear" w:color="auto" w:fill="auto"/>
          </w:tcPr>
          <w:p w:rsidR="006635E1" w:rsidRPr="00035D81" w:rsidRDefault="006635E1" w:rsidP="00DA7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>25.563.962.619</w:t>
            </w:r>
          </w:p>
        </w:tc>
      </w:tr>
      <w:tr w:rsidR="00FC3359" w:rsidRPr="00035D81">
        <w:tc>
          <w:tcPr>
            <w:tcW w:w="5501" w:type="dxa"/>
            <w:shd w:val="clear" w:color="auto" w:fill="auto"/>
          </w:tcPr>
          <w:p w:rsidR="00FC3359" w:rsidRPr="00035D81" w:rsidRDefault="00FC3359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>2.</w:t>
            </w:r>
            <w:r w:rsidR="006635E1" w:rsidRPr="00035D81">
              <w:rPr>
                <w:rFonts w:ascii="Arial" w:hAnsi="Arial" w:cs="Arial"/>
                <w:color w:val="141414"/>
                <w:sz w:val="20"/>
                <w:szCs w:val="20"/>
                <w:shd w:val="clear" w:color="auto" w:fill="FCFCFF"/>
              </w:rPr>
              <w:t xml:space="preserve">Owners' equity </w:t>
            </w:r>
          </w:p>
        </w:tc>
        <w:tc>
          <w:tcPr>
            <w:tcW w:w="3679" w:type="dxa"/>
            <w:shd w:val="clear" w:color="auto" w:fill="auto"/>
          </w:tcPr>
          <w:p w:rsidR="00FC3359" w:rsidRPr="00035D81" w:rsidRDefault="00FC3359" w:rsidP="00DA7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>96.549.047.778</w:t>
            </w:r>
          </w:p>
        </w:tc>
      </w:tr>
      <w:tr w:rsidR="00FC3359" w:rsidRPr="00035D81">
        <w:tc>
          <w:tcPr>
            <w:tcW w:w="5501" w:type="dxa"/>
            <w:shd w:val="clear" w:color="auto" w:fill="auto"/>
          </w:tcPr>
          <w:p w:rsidR="00FC3359" w:rsidRPr="00035D81" w:rsidRDefault="00FC3359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>a.</w:t>
            </w:r>
            <w:r w:rsidR="006635E1" w:rsidRPr="00035D81">
              <w:rPr>
                <w:rFonts w:ascii="Arial" w:hAnsi="Arial" w:cs="Arial"/>
                <w:sz w:val="20"/>
                <w:szCs w:val="20"/>
              </w:rPr>
              <w:t xml:space="preserve">Owners’ investment capital </w:t>
            </w:r>
          </w:p>
        </w:tc>
        <w:tc>
          <w:tcPr>
            <w:tcW w:w="3679" w:type="dxa"/>
            <w:shd w:val="clear" w:color="auto" w:fill="auto"/>
          </w:tcPr>
          <w:p w:rsidR="00FC3359" w:rsidRPr="00035D81" w:rsidRDefault="00FC3359" w:rsidP="00DA7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>57.418.170.000</w:t>
            </w:r>
          </w:p>
        </w:tc>
      </w:tr>
      <w:tr w:rsidR="006635E1" w:rsidRPr="00035D81">
        <w:tc>
          <w:tcPr>
            <w:tcW w:w="5501" w:type="dxa"/>
            <w:shd w:val="clear" w:color="auto" w:fill="auto"/>
          </w:tcPr>
          <w:p w:rsidR="006635E1" w:rsidRPr="00035D81" w:rsidRDefault="006635E1">
            <w:pPr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  <w:lang w:val="en"/>
              </w:rPr>
              <w:t>-The state capital</w:t>
            </w:r>
          </w:p>
        </w:tc>
        <w:tc>
          <w:tcPr>
            <w:tcW w:w="3679" w:type="dxa"/>
            <w:shd w:val="clear" w:color="auto" w:fill="auto"/>
          </w:tcPr>
          <w:p w:rsidR="006635E1" w:rsidRPr="00035D81" w:rsidRDefault="006635E1" w:rsidP="00DA7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>30.478.070.000</w:t>
            </w:r>
          </w:p>
        </w:tc>
      </w:tr>
      <w:tr w:rsidR="006635E1" w:rsidRPr="00035D81">
        <w:tc>
          <w:tcPr>
            <w:tcW w:w="5501" w:type="dxa"/>
            <w:shd w:val="clear" w:color="auto" w:fill="auto"/>
          </w:tcPr>
          <w:p w:rsidR="006635E1" w:rsidRPr="00035D81" w:rsidRDefault="006635E1">
            <w:pPr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  <w:lang w:val="en"/>
              </w:rPr>
              <w:t>-The capital of shareholders</w:t>
            </w:r>
          </w:p>
        </w:tc>
        <w:tc>
          <w:tcPr>
            <w:tcW w:w="3679" w:type="dxa"/>
            <w:shd w:val="clear" w:color="auto" w:fill="auto"/>
          </w:tcPr>
          <w:p w:rsidR="006635E1" w:rsidRPr="00035D81" w:rsidRDefault="006635E1" w:rsidP="00DA7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>26.940.100.000</w:t>
            </w:r>
          </w:p>
        </w:tc>
      </w:tr>
      <w:tr w:rsidR="00FC3359" w:rsidRPr="00035D81">
        <w:tc>
          <w:tcPr>
            <w:tcW w:w="5501" w:type="dxa"/>
            <w:shd w:val="clear" w:color="auto" w:fill="auto"/>
          </w:tcPr>
          <w:p w:rsidR="00FC3359" w:rsidRPr="00035D81" w:rsidRDefault="00FC3359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>b,</w:t>
            </w:r>
            <w:r w:rsidR="006635E1" w:rsidRPr="00035D81">
              <w:rPr>
                <w:rFonts w:ascii="Arial" w:hAnsi="Arial" w:cs="Arial"/>
                <w:color w:val="141414"/>
                <w:sz w:val="20"/>
                <w:szCs w:val="20"/>
                <w:shd w:val="clear" w:color="auto" w:fill="FCFCFF"/>
              </w:rPr>
              <w:t xml:space="preserve"> Surplus of chartered capital</w:t>
            </w:r>
          </w:p>
        </w:tc>
        <w:tc>
          <w:tcPr>
            <w:tcW w:w="3679" w:type="dxa"/>
            <w:shd w:val="clear" w:color="auto" w:fill="auto"/>
          </w:tcPr>
          <w:p w:rsidR="00FC3359" w:rsidRPr="00035D81" w:rsidRDefault="00FC3359" w:rsidP="00DA7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>12.897.222.273</w:t>
            </w:r>
          </w:p>
        </w:tc>
      </w:tr>
      <w:tr w:rsidR="00FC3359" w:rsidRPr="00035D81">
        <w:tc>
          <w:tcPr>
            <w:tcW w:w="5501" w:type="dxa"/>
            <w:shd w:val="clear" w:color="auto" w:fill="auto"/>
          </w:tcPr>
          <w:p w:rsidR="00FC3359" w:rsidRPr="00035D81" w:rsidRDefault="00FC3359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 xml:space="preserve">c, </w:t>
            </w:r>
            <w:r w:rsidR="006635E1" w:rsidRPr="00035D81">
              <w:rPr>
                <w:rFonts w:ascii="Arial" w:hAnsi="Arial" w:cs="Arial"/>
                <w:sz w:val="20"/>
                <w:szCs w:val="20"/>
              </w:rPr>
              <w:t xml:space="preserve">Funds of </w:t>
            </w:r>
            <w:r w:rsidR="006635E1" w:rsidRPr="00035D81">
              <w:rPr>
                <w:rFonts w:ascii="Arial" w:hAnsi="Arial" w:cs="Arial"/>
                <w:color w:val="141414"/>
                <w:sz w:val="20"/>
                <w:szCs w:val="20"/>
                <w:shd w:val="clear" w:color="auto" w:fill="FCFCFF"/>
              </w:rPr>
              <w:t>Owners' equity</w:t>
            </w:r>
          </w:p>
        </w:tc>
        <w:tc>
          <w:tcPr>
            <w:tcW w:w="3679" w:type="dxa"/>
            <w:shd w:val="clear" w:color="auto" w:fill="auto"/>
          </w:tcPr>
          <w:p w:rsidR="00FC3359" w:rsidRPr="00035D81" w:rsidRDefault="00FC3359" w:rsidP="00DA7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>20.314.699.737</w:t>
            </w:r>
          </w:p>
        </w:tc>
      </w:tr>
      <w:tr w:rsidR="00FC3359" w:rsidRPr="00035D81">
        <w:tc>
          <w:tcPr>
            <w:tcW w:w="5501" w:type="dxa"/>
            <w:shd w:val="clear" w:color="auto" w:fill="auto"/>
          </w:tcPr>
          <w:p w:rsidR="00FC3359" w:rsidRPr="00035D81" w:rsidRDefault="00FC3359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="006635E1" w:rsidRPr="00035D81">
              <w:rPr>
                <w:rFonts w:ascii="Arial" w:hAnsi="Arial" w:cs="Arial"/>
                <w:sz w:val="20"/>
                <w:szCs w:val="20"/>
                <w:lang w:val="en"/>
              </w:rPr>
              <w:t>Undistributed profits</w:t>
            </w:r>
          </w:p>
        </w:tc>
        <w:tc>
          <w:tcPr>
            <w:tcW w:w="3679" w:type="dxa"/>
            <w:shd w:val="clear" w:color="auto" w:fill="auto"/>
          </w:tcPr>
          <w:p w:rsidR="00FC3359" w:rsidRPr="00035D81" w:rsidRDefault="00FC3359" w:rsidP="00DA7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>5.918.955.768</w:t>
            </w:r>
          </w:p>
        </w:tc>
      </w:tr>
      <w:tr w:rsidR="006635E1" w:rsidRPr="00035D81">
        <w:tc>
          <w:tcPr>
            <w:tcW w:w="5501" w:type="dxa"/>
            <w:shd w:val="clear" w:color="auto" w:fill="auto"/>
          </w:tcPr>
          <w:p w:rsidR="006635E1" w:rsidRPr="00035D81" w:rsidRDefault="006635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5D81">
              <w:rPr>
                <w:rFonts w:ascii="Arial" w:hAnsi="Arial" w:cs="Arial"/>
                <w:b/>
                <w:sz w:val="20"/>
                <w:szCs w:val="20"/>
                <w:lang w:val="en"/>
              </w:rPr>
              <w:t>III. BUSINESS RESULT</w:t>
            </w:r>
          </w:p>
        </w:tc>
        <w:tc>
          <w:tcPr>
            <w:tcW w:w="3679" w:type="dxa"/>
            <w:shd w:val="clear" w:color="auto" w:fill="auto"/>
          </w:tcPr>
          <w:p w:rsidR="006635E1" w:rsidRPr="00035D81" w:rsidRDefault="006635E1" w:rsidP="00DA7D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5E1" w:rsidRPr="00035D81">
        <w:tc>
          <w:tcPr>
            <w:tcW w:w="5501" w:type="dxa"/>
            <w:shd w:val="clear" w:color="auto" w:fill="auto"/>
          </w:tcPr>
          <w:p w:rsidR="006635E1" w:rsidRPr="00035D81" w:rsidRDefault="006635E1">
            <w:pPr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  <w:lang w:val="en"/>
              </w:rPr>
              <w:t xml:space="preserve">1.A net revenue from sales and service </w:t>
            </w:r>
          </w:p>
        </w:tc>
        <w:tc>
          <w:tcPr>
            <w:tcW w:w="3679" w:type="dxa"/>
            <w:shd w:val="clear" w:color="auto" w:fill="auto"/>
          </w:tcPr>
          <w:p w:rsidR="006635E1" w:rsidRPr="00035D81" w:rsidRDefault="006635E1" w:rsidP="00DA7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>338.370.450.843</w:t>
            </w:r>
          </w:p>
        </w:tc>
      </w:tr>
      <w:tr w:rsidR="006635E1" w:rsidRPr="00035D81">
        <w:tc>
          <w:tcPr>
            <w:tcW w:w="5501" w:type="dxa"/>
            <w:shd w:val="clear" w:color="auto" w:fill="auto"/>
          </w:tcPr>
          <w:p w:rsidR="006635E1" w:rsidRPr="00035D81" w:rsidRDefault="006635E1">
            <w:pPr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  <w:lang w:val="en"/>
              </w:rPr>
              <w:t>2. Gross accounting profit before tax</w:t>
            </w:r>
          </w:p>
        </w:tc>
        <w:tc>
          <w:tcPr>
            <w:tcW w:w="3679" w:type="dxa"/>
            <w:shd w:val="clear" w:color="auto" w:fill="auto"/>
          </w:tcPr>
          <w:p w:rsidR="006635E1" w:rsidRPr="00035D81" w:rsidRDefault="006635E1" w:rsidP="00DA7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>4.832.336.503</w:t>
            </w:r>
          </w:p>
        </w:tc>
      </w:tr>
      <w:tr w:rsidR="006635E1" w:rsidRPr="00035D81">
        <w:tc>
          <w:tcPr>
            <w:tcW w:w="5501" w:type="dxa"/>
            <w:shd w:val="clear" w:color="auto" w:fill="auto"/>
          </w:tcPr>
          <w:p w:rsidR="006635E1" w:rsidRPr="00035D81" w:rsidRDefault="006635E1">
            <w:pPr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  <w:lang w:val="en"/>
              </w:rPr>
              <w:t>3. Business income tax</w:t>
            </w:r>
          </w:p>
        </w:tc>
        <w:tc>
          <w:tcPr>
            <w:tcW w:w="3679" w:type="dxa"/>
            <w:shd w:val="clear" w:color="auto" w:fill="auto"/>
          </w:tcPr>
          <w:p w:rsidR="006635E1" w:rsidRPr="00035D81" w:rsidRDefault="006635E1" w:rsidP="00DA7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>936.619.564</w:t>
            </w:r>
          </w:p>
        </w:tc>
      </w:tr>
      <w:tr w:rsidR="006635E1" w:rsidRPr="00035D81">
        <w:tc>
          <w:tcPr>
            <w:tcW w:w="5501" w:type="dxa"/>
            <w:shd w:val="clear" w:color="auto" w:fill="auto"/>
          </w:tcPr>
          <w:p w:rsidR="006635E1" w:rsidRPr="00035D81" w:rsidRDefault="006635E1">
            <w:pPr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  <w:lang w:val="en"/>
              </w:rPr>
              <w:t>4. Profit after business income tax</w:t>
            </w:r>
          </w:p>
        </w:tc>
        <w:tc>
          <w:tcPr>
            <w:tcW w:w="3679" w:type="dxa"/>
            <w:shd w:val="clear" w:color="auto" w:fill="auto"/>
          </w:tcPr>
          <w:p w:rsidR="006635E1" w:rsidRPr="00035D81" w:rsidRDefault="006635E1" w:rsidP="00DA7D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D81">
              <w:rPr>
                <w:rFonts w:ascii="Arial" w:hAnsi="Arial" w:cs="Arial"/>
                <w:sz w:val="20"/>
                <w:szCs w:val="20"/>
              </w:rPr>
              <w:t>3.895.716.939</w:t>
            </w:r>
          </w:p>
        </w:tc>
      </w:tr>
    </w:tbl>
    <w:p w:rsidR="009839CE" w:rsidRPr="00681B9F" w:rsidRDefault="00035D81" w:rsidP="00E819E5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  <w:lang w:val="en"/>
        </w:rPr>
      </w:pPr>
      <w:r w:rsidRPr="00681B9F">
        <w:rPr>
          <w:b/>
        </w:rPr>
        <w:t>2</w:t>
      </w:r>
      <w:r w:rsidR="00CB06F3" w:rsidRPr="00681B9F">
        <w:rPr>
          <w:b/>
        </w:rPr>
        <w:t xml:space="preserve">. </w:t>
      </w:r>
      <w:r w:rsidRPr="00681B9F">
        <w:rPr>
          <w:b/>
        </w:rPr>
        <w:t>Plan of p</w:t>
      </w:r>
      <w:r w:rsidR="00CB06F3" w:rsidRPr="00681B9F">
        <w:rPr>
          <w:b/>
        </w:rPr>
        <w:t xml:space="preserve">rofit distribution plan </w:t>
      </w:r>
      <w:r w:rsidRPr="00681B9F">
        <w:rPr>
          <w:b/>
        </w:rPr>
        <w:t>in</w:t>
      </w:r>
      <w:r w:rsidR="00CB06F3" w:rsidRPr="00681B9F">
        <w:rPr>
          <w:b/>
        </w:rPr>
        <w:t xml:space="preserve"> 2016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040"/>
        <w:gridCol w:w="1980"/>
        <w:gridCol w:w="1620"/>
      </w:tblGrid>
      <w:tr w:rsidR="009839CE" w:rsidRPr="00F97697">
        <w:tc>
          <w:tcPr>
            <w:tcW w:w="540" w:type="dxa"/>
            <w:shd w:val="clear" w:color="auto" w:fill="auto"/>
          </w:tcPr>
          <w:p w:rsidR="009839CE" w:rsidRPr="00F97697" w:rsidRDefault="00F97697" w:rsidP="00F9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040" w:type="dxa"/>
            <w:shd w:val="clear" w:color="auto" w:fill="auto"/>
          </w:tcPr>
          <w:p w:rsidR="009839CE" w:rsidRPr="00F97697" w:rsidRDefault="00F97697" w:rsidP="00F9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697">
              <w:rPr>
                <w:rFonts w:ascii="Arial" w:hAnsi="Arial" w:cs="Arial"/>
                <w:b/>
                <w:sz w:val="20"/>
                <w:szCs w:val="20"/>
              </w:rPr>
              <w:t>Explanation</w:t>
            </w:r>
          </w:p>
        </w:tc>
        <w:tc>
          <w:tcPr>
            <w:tcW w:w="1980" w:type="dxa"/>
            <w:shd w:val="clear" w:color="auto" w:fill="auto"/>
          </w:tcPr>
          <w:p w:rsidR="009839CE" w:rsidRPr="00F97697" w:rsidRDefault="00381C47" w:rsidP="00F9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697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1620" w:type="dxa"/>
            <w:shd w:val="clear" w:color="auto" w:fill="auto"/>
          </w:tcPr>
          <w:p w:rsidR="009839CE" w:rsidRPr="00F97697" w:rsidRDefault="00381C47" w:rsidP="00F9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697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57384D" w:rsidRPr="00F97697">
        <w:tc>
          <w:tcPr>
            <w:tcW w:w="540" w:type="dxa"/>
            <w:shd w:val="clear" w:color="auto" w:fill="auto"/>
          </w:tcPr>
          <w:p w:rsidR="0057384D" w:rsidRPr="00F97697" w:rsidRDefault="0057384D" w:rsidP="000A40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7697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5040" w:type="dxa"/>
            <w:shd w:val="clear" w:color="auto" w:fill="auto"/>
          </w:tcPr>
          <w:p w:rsidR="0057384D" w:rsidRPr="00F97697" w:rsidRDefault="00F976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697">
              <w:rPr>
                <w:rFonts w:ascii="Arial" w:hAnsi="Arial" w:cs="Arial"/>
                <w:b/>
                <w:sz w:val="20"/>
                <w:szCs w:val="20"/>
                <w:lang w:val="en"/>
              </w:rPr>
              <w:t>Undistribut</w:t>
            </w:r>
            <w:r w:rsidR="0057384D" w:rsidRPr="00F97697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ed profits transferred </w:t>
            </w:r>
            <w:r w:rsidRPr="00F97697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from </w:t>
            </w:r>
            <w:r w:rsidR="0057384D" w:rsidRPr="00F97697">
              <w:rPr>
                <w:rFonts w:ascii="Arial" w:hAnsi="Arial" w:cs="Arial"/>
                <w:b/>
                <w:sz w:val="20"/>
                <w:szCs w:val="20"/>
                <w:lang w:val="en"/>
              </w:rPr>
              <w:t>last year</w:t>
            </w:r>
            <w:r w:rsidR="0057384D" w:rsidRPr="00F97697">
              <w:rPr>
                <w:rFonts w:ascii="Arial" w:hAnsi="Arial" w:cs="Arial"/>
                <w:b/>
                <w:sz w:val="20"/>
                <w:szCs w:val="20"/>
                <w:lang w:val="en"/>
              </w:rPr>
              <w:br/>
            </w:r>
          </w:p>
        </w:tc>
        <w:tc>
          <w:tcPr>
            <w:tcW w:w="1980" w:type="dxa"/>
            <w:shd w:val="clear" w:color="auto" w:fill="auto"/>
          </w:tcPr>
          <w:p w:rsidR="0057384D" w:rsidRPr="00F97697" w:rsidRDefault="0057384D" w:rsidP="00F97697">
            <w:pPr>
              <w:ind w:left="906" w:hanging="9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697">
              <w:rPr>
                <w:rFonts w:ascii="Arial" w:hAnsi="Arial" w:cs="Arial"/>
                <w:b/>
                <w:sz w:val="20"/>
                <w:szCs w:val="20"/>
              </w:rPr>
              <w:t>2.023.238.829</w:t>
            </w:r>
          </w:p>
        </w:tc>
        <w:tc>
          <w:tcPr>
            <w:tcW w:w="1620" w:type="dxa"/>
            <w:shd w:val="clear" w:color="auto" w:fill="auto"/>
          </w:tcPr>
          <w:p w:rsidR="0057384D" w:rsidRPr="00F97697" w:rsidRDefault="0057384D" w:rsidP="00F9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384D" w:rsidRPr="00F97697">
        <w:tc>
          <w:tcPr>
            <w:tcW w:w="540" w:type="dxa"/>
            <w:shd w:val="clear" w:color="auto" w:fill="auto"/>
          </w:tcPr>
          <w:p w:rsidR="0057384D" w:rsidRPr="00F97697" w:rsidRDefault="0057384D" w:rsidP="000A40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7697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5040" w:type="dxa"/>
            <w:shd w:val="clear" w:color="auto" w:fill="auto"/>
          </w:tcPr>
          <w:p w:rsidR="0057384D" w:rsidRPr="00F97697" w:rsidRDefault="005738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697">
              <w:rPr>
                <w:rFonts w:ascii="Arial" w:hAnsi="Arial" w:cs="Arial"/>
                <w:b/>
                <w:sz w:val="20"/>
                <w:szCs w:val="20"/>
                <w:lang w:val="en"/>
              </w:rPr>
              <w:t>Business results in 2016</w:t>
            </w:r>
          </w:p>
        </w:tc>
        <w:tc>
          <w:tcPr>
            <w:tcW w:w="1980" w:type="dxa"/>
            <w:shd w:val="clear" w:color="auto" w:fill="auto"/>
          </w:tcPr>
          <w:p w:rsidR="0057384D" w:rsidRPr="00F97697" w:rsidRDefault="0057384D" w:rsidP="00F9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7384D" w:rsidRPr="00F97697" w:rsidRDefault="0057384D" w:rsidP="00F9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384D" w:rsidRPr="00F97697">
        <w:tc>
          <w:tcPr>
            <w:tcW w:w="540" w:type="dxa"/>
            <w:shd w:val="clear" w:color="auto" w:fill="auto"/>
          </w:tcPr>
          <w:p w:rsidR="0057384D" w:rsidRPr="00F97697" w:rsidRDefault="0057384D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57384D" w:rsidRPr="00F97697" w:rsidRDefault="0057384D">
            <w:pPr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  <w:lang w:val="en"/>
              </w:rPr>
              <w:t>Profit before tax</w:t>
            </w:r>
          </w:p>
        </w:tc>
        <w:tc>
          <w:tcPr>
            <w:tcW w:w="1980" w:type="dxa"/>
            <w:shd w:val="clear" w:color="auto" w:fill="auto"/>
          </w:tcPr>
          <w:p w:rsidR="0057384D" w:rsidRPr="00F97697" w:rsidRDefault="0057384D" w:rsidP="00F9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4.832.336.503</w:t>
            </w:r>
          </w:p>
        </w:tc>
        <w:tc>
          <w:tcPr>
            <w:tcW w:w="1620" w:type="dxa"/>
            <w:shd w:val="clear" w:color="auto" w:fill="auto"/>
          </w:tcPr>
          <w:p w:rsidR="0057384D" w:rsidRPr="00F97697" w:rsidRDefault="0057384D" w:rsidP="00F9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4D" w:rsidRPr="00F97697">
        <w:tc>
          <w:tcPr>
            <w:tcW w:w="540" w:type="dxa"/>
            <w:shd w:val="clear" w:color="auto" w:fill="auto"/>
          </w:tcPr>
          <w:p w:rsidR="0057384D" w:rsidRPr="00F97697" w:rsidRDefault="0057384D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57384D" w:rsidRPr="00F97697" w:rsidRDefault="00F976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Business</w:t>
            </w:r>
            <w:r w:rsidR="0057384D" w:rsidRPr="00F97697">
              <w:rPr>
                <w:rFonts w:ascii="Arial" w:hAnsi="Arial" w:cs="Arial"/>
                <w:sz w:val="20"/>
                <w:szCs w:val="20"/>
                <w:lang w:val="en"/>
              </w:rPr>
              <w:t xml:space="preserve"> income tax</w:t>
            </w:r>
          </w:p>
        </w:tc>
        <w:tc>
          <w:tcPr>
            <w:tcW w:w="1980" w:type="dxa"/>
            <w:shd w:val="clear" w:color="auto" w:fill="auto"/>
          </w:tcPr>
          <w:p w:rsidR="0057384D" w:rsidRPr="00F97697" w:rsidRDefault="0057384D" w:rsidP="00F9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936.619.564</w:t>
            </w:r>
          </w:p>
        </w:tc>
        <w:tc>
          <w:tcPr>
            <w:tcW w:w="1620" w:type="dxa"/>
            <w:shd w:val="clear" w:color="auto" w:fill="auto"/>
          </w:tcPr>
          <w:p w:rsidR="0057384D" w:rsidRPr="00F97697" w:rsidRDefault="0057384D" w:rsidP="00F9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84D" w:rsidRPr="00F97697">
        <w:tc>
          <w:tcPr>
            <w:tcW w:w="540" w:type="dxa"/>
            <w:shd w:val="clear" w:color="auto" w:fill="auto"/>
          </w:tcPr>
          <w:p w:rsidR="0057384D" w:rsidRPr="00F97697" w:rsidRDefault="0057384D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57384D" w:rsidRPr="00F97697" w:rsidRDefault="00F97697">
            <w:pPr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  <w:lang w:val="en"/>
              </w:rPr>
              <w:t>Deductions</w:t>
            </w:r>
          </w:p>
        </w:tc>
        <w:tc>
          <w:tcPr>
            <w:tcW w:w="1980" w:type="dxa"/>
            <w:shd w:val="clear" w:color="auto" w:fill="auto"/>
          </w:tcPr>
          <w:p w:rsidR="0057384D" w:rsidRPr="00F97697" w:rsidRDefault="0057384D" w:rsidP="00F9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7384D" w:rsidRPr="00F97697" w:rsidRDefault="0057384D" w:rsidP="00F9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697" w:rsidRPr="00F97697">
        <w:tc>
          <w:tcPr>
            <w:tcW w:w="540" w:type="dxa"/>
            <w:shd w:val="clear" w:color="auto" w:fill="auto"/>
          </w:tcPr>
          <w:p w:rsidR="00F97697" w:rsidRPr="00F97697" w:rsidRDefault="00F97697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F97697" w:rsidRPr="00F97697" w:rsidRDefault="00F97697" w:rsidP="00AD1384">
            <w:pPr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  <w:lang w:val="en"/>
              </w:rPr>
              <w:t>Remaining profit after deduction, after tax</w:t>
            </w:r>
          </w:p>
        </w:tc>
        <w:tc>
          <w:tcPr>
            <w:tcW w:w="1980" w:type="dxa"/>
            <w:shd w:val="clear" w:color="auto" w:fill="auto"/>
          </w:tcPr>
          <w:p w:rsidR="00F97697" w:rsidRPr="00F97697" w:rsidRDefault="00F97697" w:rsidP="00F9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3.895.716.939</w:t>
            </w:r>
          </w:p>
        </w:tc>
        <w:tc>
          <w:tcPr>
            <w:tcW w:w="1620" w:type="dxa"/>
            <w:shd w:val="clear" w:color="auto" w:fill="auto"/>
          </w:tcPr>
          <w:p w:rsidR="00F97697" w:rsidRPr="00F97697" w:rsidRDefault="00F97697" w:rsidP="00F9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II.1-II.2</w:t>
            </w:r>
          </w:p>
        </w:tc>
      </w:tr>
      <w:tr w:rsidR="00F97697" w:rsidRPr="00AD1384">
        <w:tc>
          <w:tcPr>
            <w:tcW w:w="540" w:type="dxa"/>
            <w:shd w:val="clear" w:color="auto" w:fill="auto"/>
          </w:tcPr>
          <w:p w:rsidR="00F97697" w:rsidRPr="00AD1384" w:rsidRDefault="00F97697" w:rsidP="000A40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1384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5040" w:type="dxa"/>
            <w:shd w:val="clear" w:color="auto" w:fill="auto"/>
          </w:tcPr>
          <w:p w:rsidR="00F97697" w:rsidRPr="00AD1384" w:rsidRDefault="00F97697" w:rsidP="00AD13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1384">
              <w:rPr>
                <w:rFonts w:ascii="Arial" w:hAnsi="Arial" w:cs="Arial"/>
                <w:b/>
                <w:sz w:val="20"/>
                <w:szCs w:val="20"/>
                <w:lang w:val="en"/>
              </w:rPr>
              <w:t>Profit distribution plan in 2016</w:t>
            </w:r>
            <w:r w:rsidRPr="00AD1384">
              <w:rPr>
                <w:rFonts w:ascii="Arial" w:hAnsi="Arial" w:cs="Arial"/>
                <w:b/>
                <w:sz w:val="20"/>
                <w:szCs w:val="20"/>
                <w:lang w:val="en"/>
              </w:rPr>
              <w:br/>
            </w:r>
          </w:p>
        </w:tc>
        <w:tc>
          <w:tcPr>
            <w:tcW w:w="1980" w:type="dxa"/>
            <w:shd w:val="clear" w:color="auto" w:fill="auto"/>
          </w:tcPr>
          <w:p w:rsidR="00F97697" w:rsidRPr="00AD1384" w:rsidRDefault="00F97697" w:rsidP="00F9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1384">
              <w:rPr>
                <w:rFonts w:ascii="Arial" w:hAnsi="Arial" w:cs="Arial"/>
                <w:b/>
                <w:sz w:val="20"/>
                <w:szCs w:val="20"/>
              </w:rPr>
              <w:lastRenderedPageBreak/>
              <w:t>3.895.716.939</w:t>
            </w:r>
          </w:p>
        </w:tc>
        <w:tc>
          <w:tcPr>
            <w:tcW w:w="1620" w:type="dxa"/>
            <w:shd w:val="clear" w:color="auto" w:fill="auto"/>
          </w:tcPr>
          <w:p w:rsidR="00F97697" w:rsidRPr="00AD1384" w:rsidRDefault="00F97697" w:rsidP="00F97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7697" w:rsidRPr="00F97697">
        <w:tc>
          <w:tcPr>
            <w:tcW w:w="540" w:type="dxa"/>
            <w:shd w:val="clear" w:color="auto" w:fill="auto"/>
          </w:tcPr>
          <w:p w:rsidR="00F97697" w:rsidRPr="00F97697" w:rsidRDefault="00F97697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040" w:type="dxa"/>
            <w:shd w:val="clear" w:color="auto" w:fill="auto"/>
          </w:tcPr>
          <w:p w:rsidR="00F97697" w:rsidRPr="00F97697" w:rsidRDefault="00F97697">
            <w:pPr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  <w:lang w:val="en"/>
              </w:rPr>
              <w:t>Deduction for development investment fund</w:t>
            </w:r>
          </w:p>
        </w:tc>
        <w:tc>
          <w:tcPr>
            <w:tcW w:w="1980" w:type="dxa"/>
            <w:shd w:val="clear" w:color="auto" w:fill="auto"/>
          </w:tcPr>
          <w:p w:rsidR="00F97697" w:rsidRPr="00F97697" w:rsidRDefault="00F97697" w:rsidP="00F9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1.168.715.082</w:t>
            </w:r>
          </w:p>
        </w:tc>
        <w:tc>
          <w:tcPr>
            <w:tcW w:w="1620" w:type="dxa"/>
            <w:shd w:val="clear" w:color="auto" w:fill="auto"/>
          </w:tcPr>
          <w:p w:rsidR="00F97697" w:rsidRPr="00F97697" w:rsidRDefault="00F97697" w:rsidP="00F9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II.4x30%</w:t>
            </w:r>
          </w:p>
        </w:tc>
      </w:tr>
      <w:tr w:rsidR="00F97697" w:rsidRPr="00F97697">
        <w:tc>
          <w:tcPr>
            <w:tcW w:w="540" w:type="dxa"/>
            <w:shd w:val="clear" w:color="auto" w:fill="auto"/>
          </w:tcPr>
          <w:p w:rsidR="00F97697" w:rsidRPr="00F97697" w:rsidRDefault="00F97697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F97697" w:rsidRPr="00F97697" w:rsidRDefault="00F97697">
            <w:pPr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  <w:lang w:val="en"/>
              </w:rPr>
              <w:t xml:space="preserve">Deduction for </w:t>
            </w:r>
            <w:r w:rsidR="00AD1384">
              <w:rPr>
                <w:rFonts w:ascii="Arial" w:hAnsi="Arial" w:cs="Arial"/>
                <w:sz w:val="20"/>
                <w:szCs w:val="20"/>
                <w:lang w:val="en"/>
              </w:rPr>
              <w:t>bonus</w:t>
            </w:r>
            <w:r w:rsidRPr="00F97697">
              <w:rPr>
                <w:rFonts w:ascii="Arial" w:hAnsi="Arial" w:cs="Arial"/>
                <w:sz w:val="20"/>
                <w:szCs w:val="20"/>
                <w:lang w:val="en"/>
              </w:rPr>
              <w:t xml:space="preserve"> and welfare fund</w:t>
            </w:r>
          </w:p>
        </w:tc>
        <w:tc>
          <w:tcPr>
            <w:tcW w:w="1980" w:type="dxa"/>
            <w:shd w:val="clear" w:color="auto" w:fill="auto"/>
          </w:tcPr>
          <w:p w:rsidR="00F97697" w:rsidRPr="00F97697" w:rsidRDefault="00F97697" w:rsidP="00F9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779.143.338</w:t>
            </w:r>
          </w:p>
        </w:tc>
        <w:tc>
          <w:tcPr>
            <w:tcW w:w="1620" w:type="dxa"/>
            <w:shd w:val="clear" w:color="auto" w:fill="auto"/>
          </w:tcPr>
          <w:p w:rsidR="00F97697" w:rsidRPr="00F97697" w:rsidRDefault="00F97697" w:rsidP="00F9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II.4x20%</w:t>
            </w:r>
          </w:p>
        </w:tc>
      </w:tr>
      <w:tr w:rsidR="00F97697" w:rsidRPr="00F97697">
        <w:tc>
          <w:tcPr>
            <w:tcW w:w="540" w:type="dxa"/>
            <w:shd w:val="clear" w:color="auto" w:fill="auto"/>
          </w:tcPr>
          <w:p w:rsidR="00F97697" w:rsidRPr="00F97697" w:rsidRDefault="00F97697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F97697" w:rsidRPr="00F97697" w:rsidRDefault="00F97697">
            <w:pPr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  <w:lang w:val="en"/>
              </w:rPr>
              <w:t>Deduction of reserve fund for s</w:t>
            </w:r>
            <w:r w:rsidR="00AD1384">
              <w:rPr>
                <w:rFonts w:ascii="Arial" w:hAnsi="Arial" w:cs="Arial"/>
                <w:sz w:val="20"/>
                <w:szCs w:val="20"/>
                <w:lang w:val="en"/>
              </w:rPr>
              <w:t xml:space="preserve">upplementary </w:t>
            </w:r>
            <w:r w:rsidRPr="00F97697">
              <w:rPr>
                <w:rFonts w:ascii="Arial" w:hAnsi="Arial" w:cs="Arial"/>
                <w:sz w:val="20"/>
                <w:szCs w:val="20"/>
                <w:lang w:val="en"/>
              </w:rPr>
              <w:t>chartered capital</w:t>
            </w:r>
          </w:p>
        </w:tc>
        <w:tc>
          <w:tcPr>
            <w:tcW w:w="1980" w:type="dxa"/>
            <w:shd w:val="clear" w:color="auto" w:fill="auto"/>
          </w:tcPr>
          <w:p w:rsidR="00F97697" w:rsidRPr="00F97697" w:rsidRDefault="00F97697" w:rsidP="00F9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1.947.858.469</w:t>
            </w:r>
          </w:p>
        </w:tc>
        <w:tc>
          <w:tcPr>
            <w:tcW w:w="1620" w:type="dxa"/>
            <w:shd w:val="clear" w:color="auto" w:fill="auto"/>
          </w:tcPr>
          <w:p w:rsidR="00F97697" w:rsidRPr="00F97697" w:rsidRDefault="00F97697" w:rsidP="00F9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II.4x50%</w:t>
            </w:r>
          </w:p>
        </w:tc>
      </w:tr>
      <w:tr w:rsidR="00F97697" w:rsidRPr="00F97697">
        <w:tc>
          <w:tcPr>
            <w:tcW w:w="540" w:type="dxa"/>
            <w:shd w:val="clear" w:color="auto" w:fill="auto"/>
          </w:tcPr>
          <w:p w:rsidR="00F97697" w:rsidRPr="00F97697" w:rsidRDefault="00F97697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5040" w:type="dxa"/>
            <w:shd w:val="clear" w:color="auto" w:fill="auto"/>
          </w:tcPr>
          <w:p w:rsidR="00F97697" w:rsidRPr="00F97697" w:rsidRDefault="00F97697">
            <w:pPr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  <w:lang w:val="en"/>
              </w:rPr>
              <w:br/>
              <w:t xml:space="preserve">Remaining profit </w:t>
            </w:r>
            <w:r w:rsidR="00AD1384">
              <w:rPr>
                <w:rFonts w:ascii="Arial" w:hAnsi="Arial" w:cs="Arial"/>
                <w:sz w:val="20"/>
                <w:szCs w:val="20"/>
                <w:lang w:val="en"/>
              </w:rPr>
              <w:t>(</w:t>
            </w:r>
            <w:r w:rsidR="00AD1384" w:rsidRPr="00F97697">
              <w:rPr>
                <w:rFonts w:ascii="Arial" w:hAnsi="Arial" w:cs="Arial"/>
                <w:sz w:val="20"/>
                <w:szCs w:val="20"/>
                <w:lang w:val="en"/>
              </w:rPr>
              <w:t>after tax</w:t>
            </w:r>
            <w:r w:rsidR="00AD1384">
              <w:rPr>
                <w:rFonts w:ascii="Arial" w:hAnsi="Arial" w:cs="Arial"/>
                <w:sz w:val="20"/>
                <w:szCs w:val="20"/>
                <w:lang w:val="en"/>
              </w:rPr>
              <w:t xml:space="preserve">, </w:t>
            </w:r>
            <w:r w:rsidR="00403EBC">
              <w:rPr>
                <w:rFonts w:ascii="Arial" w:hAnsi="Arial" w:cs="Arial"/>
                <w:sz w:val="20"/>
                <w:szCs w:val="20"/>
                <w:lang w:val="en"/>
              </w:rPr>
              <w:t>after deduction</w:t>
            </w:r>
            <w:r w:rsidR="00AD1384">
              <w:rPr>
                <w:rFonts w:ascii="Arial" w:hAnsi="Arial" w:cs="Arial"/>
                <w:sz w:val="20"/>
                <w:szCs w:val="20"/>
                <w:lang w:val="en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F97697" w:rsidRPr="00F97697" w:rsidRDefault="00F97697" w:rsidP="00F9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F97697" w:rsidRPr="00F97697" w:rsidRDefault="00F97697" w:rsidP="00F9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II.4-III</w:t>
            </w:r>
          </w:p>
        </w:tc>
      </w:tr>
      <w:tr w:rsidR="00F97697" w:rsidRPr="00F97697">
        <w:tc>
          <w:tcPr>
            <w:tcW w:w="540" w:type="dxa"/>
            <w:shd w:val="clear" w:color="auto" w:fill="auto"/>
          </w:tcPr>
          <w:p w:rsidR="00F97697" w:rsidRPr="00F97697" w:rsidRDefault="00F97697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040" w:type="dxa"/>
            <w:shd w:val="clear" w:color="auto" w:fill="auto"/>
          </w:tcPr>
          <w:p w:rsidR="00F97697" w:rsidRPr="00F97697" w:rsidRDefault="00F97697">
            <w:pPr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  <w:lang w:val="en"/>
              </w:rPr>
              <w:t>Pay dividend in 2016</w:t>
            </w:r>
          </w:p>
        </w:tc>
        <w:tc>
          <w:tcPr>
            <w:tcW w:w="1980" w:type="dxa"/>
            <w:shd w:val="clear" w:color="auto" w:fill="auto"/>
          </w:tcPr>
          <w:p w:rsidR="00F97697" w:rsidRPr="00F97697" w:rsidRDefault="00F97697" w:rsidP="00F9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F97697" w:rsidRPr="00F97697" w:rsidRDefault="00F97697" w:rsidP="00F9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697" w:rsidRPr="00F97697">
        <w:tc>
          <w:tcPr>
            <w:tcW w:w="540" w:type="dxa"/>
            <w:shd w:val="clear" w:color="auto" w:fill="auto"/>
          </w:tcPr>
          <w:p w:rsidR="00F97697" w:rsidRPr="00F97697" w:rsidRDefault="00F97697" w:rsidP="000A40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5040" w:type="dxa"/>
            <w:shd w:val="clear" w:color="auto" w:fill="auto"/>
          </w:tcPr>
          <w:p w:rsidR="00F97697" w:rsidRPr="00F97697" w:rsidRDefault="00403EBC">
            <w:pPr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  <w:lang w:val="en"/>
              </w:rPr>
              <w:t xml:space="preserve">Remaining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profit </w:t>
            </w:r>
            <w:r w:rsidR="00F97697" w:rsidRPr="00F97697">
              <w:rPr>
                <w:rFonts w:ascii="Arial" w:hAnsi="Arial" w:cs="Arial"/>
                <w:sz w:val="20"/>
                <w:szCs w:val="20"/>
                <w:lang w:val="en"/>
              </w:rPr>
              <w:t>after distribution in 2016</w:t>
            </w:r>
          </w:p>
        </w:tc>
        <w:tc>
          <w:tcPr>
            <w:tcW w:w="1980" w:type="dxa"/>
            <w:shd w:val="clear" w:color="auto" w:fill="auto"/>
          </w:tcPr>
          <w:p w:rsidR="00F97697" w:rsidRPr="00F97697" w:rsidRDefault="00F97697" w:rsidP="00F9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2.023.238.829</w:t>
            </w:r>
          </w:p>
        </w:tc>
        <w:tc>
          <w:tcPr>
            <w:tcW w:w="1620" w:type="dxa"/>
            <w:shd w:val="clear" w:color="auto" w:fill="auto"/>
          </w:tcPr>
          <w:p w:rsidR="00F97697" w:rsidRPr="00F97697" w:rsidRDefault="00F97697" w:rsidP="00F97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697">
              <w:rPr>
                <w:rFonts w:ascii="Arial" w:hAnsi="Arial" w:cs="Arial"/>
                <w:sz w:val="20"/>
                <w:szCs w:val="20"/>
              </w:rPr>
              <w:t>I+IV-V</w:t>
            </w:r>
          </w:p>
        </w:tc>
      </w:tr>
    </w:tbl>
    <w:p w:rsidR="00CB06F3" w:rsidRPr="00702089" w:rsidRDefault="00CB06F3" w:rsidP="000A401C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403EBC" w:rsidRPr="00681B9F" w:rsidRDefault="00AE7914" w:rsidP="00E819E5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  <w:lang w:val="en"/>
        </w:rPr>
      </w:pPr>
      <w:r w:rsidRPr="00681B9F">
        <w:rPr>
          <w:rFonts w:ascii="Arial" w:hAnsi="Arial" w:cs="Arial"/>
          <w:b/>
          <w:sz w:val="20"/>
          <w:szCs w:val="20"/>
          <w:u w:val="single"/>
          <w:lang w:val="en"/>
        </w:rPr>
        <w:t>Article 3:</w:t>
      </w:r>
      <w:r w:rsidR="00403EBC" w:rsidRPr="00681B9F">
        <w:rPr>
          <w:rFonts w:ascii="Arial" w:hAnsi="Arial" w:cs="Arial"/>
          <w:b/>
          <w:sz w:val="20"/>
          <w:szCs w:val="20"/>
          <w:lang w:val="en"/>
        </w:rPr>
        <w:t xml:space="preserve"> Approve </w:t>
      </w:r>
      <w:r w:rsidRPr="00681B9F">
        <w:rPr>
          <w:rFonts w:ascii="Arial" w:hAnsi="Arial" w:cs="Arial"/>
          <w:b/>
          <w:sz w:val="20"/>
          <w:szCs w:val="20"/>
          <w:lang w:val="en"/>
        </w:rPr>
        <w:t xml:space="preserve">the balance of the salary and remuneration fund of the Board of Directors and the Board of Supervisors in 2016; Plan </w:t>
      </w:r>
      <w:r w:rsidR="00403EBC" w:rsidRPr="00681B9F">
        <w:rPr>
          <w:rFonts w:ascii="Arial" w:hAnsi="Arial" w:cs="Arial"/>
          <w:b/>
          <w:sz w:val="20"/>
          <w:szCs w:val="20"/>
          <w:lang w:val="en"/>
        </w:rPr>
        <w:t>of salary, remuneration in 2017.</w:t>
      </w:r>
    </w:p>
    <w:p w:rsidR="002E2793" w:rsidRPr="00FB6791" w:rsidRDefault="00AE7914" w:rsidP="002E2793">
      <w:pPr>
        <w:numPr>
          <w:ilvl w:val="0"/>
          <w:numId w:val="8"/>
        </w:numPr>
        <w:spacing w:before="60" w:after="60" w:line="276" w:lineRule="auto"/>
        <w:jc w:val="both"/>
        <w:rPr>
          <w:rFonts w:ascii="Arial" w:hAnsi="Arial" w:cs="Arial"/>
          <w:b/>
          <w:sz w:val="20"/>
          <w:szCs w:val="20"/>
          <w:lang w:val="en"/>
        </w:rPr>
      </w:pPr>
      <w:r w:rsidRPr="00FB6791">
        <w:rPr>
          <w:rFonts w:ascii="Arial" w:hAnsi="Arial" w:cs="Arial"/>
          <w:b/>
          <w:sz w:val="20"/>
          <w:szCs w:val="20"/>
          <w:lang w:val="en"/>
        </w:rPr>
        <w:t>Make the final set</w:t>
      </w:r>
      <w:r w:rsidR="002E2793" w:rsidRPr="00FB6791">
        <w:rPr>
          <w:rFonts w:ascii="Arial" w:hAnsi="Arial" w:cs="Arial"/>
          <w:b/>
          <w:sz w:val="20"/>
          <w:szCs w:val="20"/>
          <w:lang w:val="en"/>
        </w:rPr>
        <w:t>tlement of salary fund</w:t>
      </w:r>
      <w:r w:rsidR="00FB6791" w:rsidRPr="00FB6791">
        <w:rPr>
          <w:rFonts w:ascii="Arial" w:hAnsi="Arial" w:cs="Arial"/>
          <w:b/>
          <w:sz w:val="20"/>
          <w:szCs w:val="20"/>
          <w:lang w:val="en"/>
        </w:rPr>
        <w:t xml:space="preserve"> in 2016</w:t>
      </w:r>
    </w:p>
    <w:p w:rsidR="00F97697" w:rsidRDefault="00AE7914" w:rsidP="00E819E5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E819E5">
        <w:rPr>
          <w:rFonts w:ascii="Arial" w:hAnsi="Arial" w:cs="Arial"/>
          <w:sz w:val="20"/>
          <w:szCs w:val="20"/>
          <w:lang w:val="en"/>
        </w:rPr>
        <w:t>Total salaries and remunerations of company</w:t>
      </w:r>
      <w:r w:rsidR="002E2793">
        <w:rPr>
          <w:rFonts w:ascii="Arial" w:hAnsi="Arial" w:cs="Arial"/>
          <w:sz w:val="20"/>
          <w:szCs w:val="20"/>
          <w:lang w:val="en"/>
        </w:rPr>
        <w:t>’s</w:t>
      </w:r>
      <w:r w:rsidRPr="00E819E5">
        <w:rPr>
          <w:rFonts w:ascii="Arial" w:hAnsi="Arial" w:cs="Arial"/>
          <w:sz w:val="20"/>
          <w:szCs w:val="20"/>
          <w:lang w:val="en"/>
        </w:rPr>
        <w:t xml:space="preserve"> managers, including:</w:t>
      </w:r>
    </w:p>
    <w:p w:rsidR="002E2793" w:rsidRDefault="00AE7914" w:rsidP="00E819E5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E819E5">
        <w:rPr>
          <w:rFonts w:ascii="Arial" w:hAnsi="Arial" w:cs="Arial"/>
          <w:sz w:val="20"/>
          <w:szCs w:val="20"/>
          <w:lang w:val="en"/>
        </w:rPr>
        <w:t>- Total salary</w:t>
      </w:r>
      <w:r w:rsidR="002E2793">
        <w:rPr>
          <w:rFonts w:ascii="Arial" w:hAnsi="Arial" w:cs="Arial"/>
          <w:sz w:val="20"/>
          <w:szCs w:val="20"/>
          <w:lang w:val="en"/>
        </w:rPr>
        <w:t xml:space="preserve"> and </w:t>
      </w:r>
      <w:r w:rsidR="002E2793" w:rsidRPr="00E819E5">
        <w:rPr>
          <w:rFonts w:ascii="Arial" w:hAnsi="Arial" w:cs="Arial"/>
          <w:sz w:val="20"/>
          <w:szCs w:val="20"/>
          <w:lang w:val="en"/>
        </w:rPr>
        <w:t>remuneration</w:t>
      </w:r>
      <w:r w:rsidR="002E2793">
        <w:rPr>
          <w:rFonts w:ascii="Arial" w:hAnsi="Arial" w:cs="Arial"/>
          <w:sz w:val="20"/>
          <w:szCs w:val="20"/>
          <w:lang w:val="en"/>
        </w:rPr>
        <w:t xml:space="preserve"> fund of</w:t>
      </w:r>
      <w:r w:rsidRPr="00E819E5">
        <w:rPr>
          <w:rFonts w:ascii="Arial" w:hAnsi="Arial" w:cs="Arial"/>
          <w:sz w:val="20"/>
          <w:szCs w:val="20"/>
          <w:lang w:val="en"/>
        </w:rPr>
        <w:t xml:space="preserve"> Board of Directors, Board</w:t>
      </w:r>
      <w:r w:rsidR="002E2793">
        <w:rPr>
          <w:rFonts w:ascii="Arial" w:hAnsi="Arial" w:cs="Arial"/>
          <w:sz w:val="20"/>
          <w:szCs w:val="20"/>
          <w:lang w:val="en"/>
        </w:rPr>
        <w:t xml:space="preserve"> of Supervisors</w:t>
      </w:r>
      <w:r w:rsidRPr="00E819E5">
        <w:rPr>
          <w:rFonts w:ascii="Arial" w:hAnsi="Arial" w:cs="Arial"/>
          <w:sz w:val="20"/>
          <w:szCs w:val="20"/>
          <w:lang w:val="en"/>
        </w:rPr>
        <w:t xml:space="preserve"> according</w:t>
      </w:r>
      <w:r w:rsidR="00F97697">
        <w:rPr>
          <w:rFonts w:ascii="Arial" w:hAnsi="Arial" w:cs="Arial"/>
          <w:sz w:val="20"/>
          <w:szCs w:val="20"/>
          <w:lang w:val="en"/>
        </w:rPr>
        <w:t xml:space="preserve"> to the plan: </w:t>
      </w:r>
      <w:r w:rsidR="002E2793">
        <w:rPr>
          <w:rFonts w:ascii="Arial" w:hAnsi="Arial" w:cs="Arial"/>
          <w:sz w:val="20"/>
          <w:szCs w:val="20"/>
          <w:lang w:val="en"/>
        </w:rPr>
        <w:t xml:space="preserve">VND </w:t>
      </w:r>
      <w:r w:rsidR="00F97697">
        <w:rPr>
          <w:rFonts w:ascii="Arial" w:hAnsi="Arial" w:cs="Arial"/>
          <w:sz w:val="20"/>
          <w:szCs w:val="20"/>
          <w:lang w:val="en"/>
        </w:rPr>
        <w:t xml:space="preserve">1.952.836.000 </w:t>
      </w:r>
    </w:p>
    <w:p w:rsidR="00F97697" w:rsidRDefault="002E2793" w:rsidP="00E819E5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- Total payment</w:t>
      </w:r>
      <w:r w:rsidR="00F97697">
        <w:rPr>
          <w:rFonts w:ascii="Arial" w:hAnsi="Arial" w:cs="Arial"/>
          <w:sz w:val="20"/>
          <w:szCs w:val="20"/>
          <w:lang w:val="en"/>
        </w:rPr>
        <w:t>: VND 1,945,936,000</w:t>
      </w:r>
    </w:p>
    <w:p w:rsidR="00F97697" w:rsidRPr="00681B9F" w:rsidRDefault="002E2793" w:rsidP="002E2793">
      <w:pPr>
        <w:numPr>
          <w:ilvl w:val="0"/>
          <w:numId w:val="8"/>
        </w:numPr>
        <w:spacing w:before="60" w:after="60" w:line="276" w:lineRule="auto"/>
        <w:jc w:val="both"/>
        <w:rPr>
          <w:rFonts w:ascii="Arial" w:hAnsi="Arial" w:cs="Arial"/>
          <w:b/>
          <w:sz w:val="20"/>
          <w:szCs w:val="20"/>
          <w:lang w:val="en"/>
        </w:rPr>
      </w:pPr>
      <w:r w:rsidRPr="00681B9F">
        <w:rPr>
          <w:rFonts w:ascii="Arial" w:hAnsi="Arial" w:cs="Arial"/>
          <w:b/>
          <w:sz w:val="20"/>
          <w:szCs w:val="20"/>
          <w:lang w:val="en"/>
        </w:rPr>
        <w:t>Plan of s</w:t>
      </w:r>
      <w:r w:rsidR="00F97697" w:rsidRPr="00681B9F">
        <w:rPr>
          <w:rFonts w:ascii="Arial" w:hAnsi="Arial" w:cs="Arial"/>
          <w:b/>
          <w:sz w:val="20"/>
          <w:szCs w:val="20"/>
          <w:lang w:val="en"/>
        </w:rPr>
        <w:t>alary</w:t>
      </w:r>
      <w:r w:rsidRPr="00681B9F">
        <w:rPr>
          <w:rFonts w:ascii="Arial" w:hAnsi="Arial" w:cs="Arial"/>
          <w:b/>
          <w:sz w:val="20"/>
          <w:szCs w:val="20"/>
          <w:lang w:val="en"/>
        </w:rPr>
        <w:t xml:space="preserve"> and</w:t>
      </w:r>
      <w:r w:rsidR="00F97697" w:rsidRPr="00681B9F">
        <w:rPr>
          <w:rFonts w:ascii="Arial" w:hAnsi="Arial" w:cs="Arial"/>
          <w:b/>
          <w:sz w:val="20"/>
          <w:szCs w:val="20"/>
          <w:lang w:val="en"/>
        </w:rPr>
        <w:t xml:space="preserve"> remuneration 2017:</w:t>
      </w:r>
    </w:p>
    <w:p w:rsidR="00F97697" w:rsidRDefault="002E2793" w:rsidP="00E819E5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The salary of specialized</w:t>
      </w:r>
      <w:r w:rsidR="00AE7914" w:rsidRPr="00E819E5">
        <w:rPr>
          <w:rFonts w:ascii="Arial" w:hAnsi="Arial" w:cs="Arial"/>
          <w:sz w:val="20"/>
          <w:szCs w:val="20"/>
          <w:lang w:val="en"/>
        </w:rPr>
        <w:t xml:space="preserve"> manager</w:t>
      </w:r>
      <w:r>
        <w:rPr>
          <w:rFonts w:ascii="Arial" w:hAnsi="Arial" w:cs="Arial"/>
          <w:sz w:val="20"/>
          <w:szCs w:val="20"/>
          <w:lang w:val="en"/>
        </w:rPr>
        <w:t>s</w:t>
      </w:r>
      <w:r w:rsidR="00AE7914" w:rsidRPr="00E819E5">
        <w:rPr>
          <w:rFonts w:ascii="Arial" w:hAnsi="Arial" w:cs="Arial"/>
          <w:sz w:val="20"/>
          <w:szCs w:val="20"/>
          <w:lang w:val="en"/>
        </w:rPr>
        <w:t xml:space="preserve">, remuneration </w:t>
      </w:r>
      <w:r>
        <w:rPr>
          <w:rFonts w:ascii="Arial" w:hAnsi="Arial" w:cs="Arial"/>
          <w:sz w:val="20"/>
          <w:szCs w:val="20"/>
          <w:lang w:val="en"/>
        </w:rPr>
        <w:t>of members of Board of Directors</w:t>
      </w:r>
      <w:r w:rsidR="00AE7914" w:rsidRPr="00E819E5">
        <w:rPr>
          <w:rFonts w:ascii="Arial" w:hAnsi="Arial" w:cs="Arial"/>
          <w:sz w:val="20"/>
          <w:szCs w:val="20"/>
          <w:lang w:val="en"/>
        </w:rPr>
        <w:t>, members of the Board of Superv</w:t>
      </w:r>
      <w:r w:rsidR="00F97697">
        <w:rPr>
          <w:rFonts w:ascii="Arial" w:hAnsi="Arial" w:cs="Arial"/>
          <w:sz w:val="20"/>
          <w:szCs w:val="20"/>
          <w:lang w:val="en"/>
        </w:rPr>
        <w:t xml:space="preserve">isors, secretary </w:t>
      </w:r>
      <w:r w:rsidRPr="00E819E5">
        <w:rPr>
          <w:rFonts w:ascii="Arial" w:hAnsi="Arial" w:cs="Arial"/>
          <w:sz w:val="20"/>
          <w:szCs w:val="20"/>
          <w:lang w:val="en"/>
        </w:rPr>
        <w:t xml:space="preserve">in 2017 </w:t>
      </w:r>
      <w:r>
        <w:rPr>
          <w:rFonts w:ascii="Arial" w:hAnsi="Arial" w:cs="Arial"/>
          <w:sz w:val="20"/>
          <w:szCs w:val="20"/>
          <w:lang w:val="en"/>
        </w:rPr>
        <w:t>are</w:t>
      </w:r>
      <w:r w:rsidR="00F97697">
        <w:rPr>
          <w:rFonts w:ascii="Arial" w:hAnsi="Arial" w:cs="Arial"/>
          <w:sz w:val="20"/>
          <w:szCs w:val="20"/>
          <w:lang w:val="en"/>
        </w:rPr>
        <w:t xml:space="preserve"> as follows:</w:t>
      </w:r>
    </w:p>
    <w:p w:rsidR="00F97697" w:rsidRDefault="00AE7914" w:rsidP="00E819E5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E819E5">
        <w:rPr>
          <w:rFonts w:ascii="Arial" w:hAnsi="Arial" w:cs="Arial"/>
          <w:sz w:val="20"/>
          <w:szCs w:val="20"/>
          <w:lang w:val="en"/>
        </w:rPr>
        <w:t xml:space="preserve">- </w:t>
      </w:r>
      <w:r w:rsidR="002E2793">
        <w:rPr>
          <w:rFonts w:ascii="Arial" w:hAnsi="Arial" w:cs="Arial"/>
          <w:sz w:val="20"/>
          <w:szCs w:val="20"/>
          <w:lang w:val="en"/>
        </w:rPr>
        <w:t>The salary of specialized</w:t>
      </w:r>
      <w:r w:rsidR="002E2793" w:rsidRPr="00E819E5">
        <w:rPr>
          <w:rFonts w:ascii="Arial" w:hAnsi="Arial" w:cs="Arial"/>
          <w:sz w:val="20"/>
          <w:szCs w:val="20"/>
          <w:lang w:val="en"/>
        </w:rPr>
        <w:t xml:space="preserve"> manager</w:t>
      </w:r>
      <w:r w:rsidR="002E2793">
        <w:rPr>
          <w:rFonts w:ascii="Arial" w:hAnsi="Arial" w:cs="Arial"/>
          <w:sz w:val="20"/>
          <w:szCs w:val="20"/>
          <w:lang w:val="en"/>
        </w:rPr>
        <w:t>s</w:t>
      </w:r>
      <w:r w:rsidR="002E2793" w:rsidRPr="00E819E5">
        <w:rPr>
          <w:rFonts w:ascii="Arial" w:hAnsi="Arial" w:cs="Arial"/>
          <w:sz w:val="20"/>
          <w:szCs w:val="20"/>
          <w:lang w:val="en"/>
        </w:rPr>
        <w:t xml:space="preserve"> </w:t>
      </w:r>
      <w:r w:rsidRPr="00E819E5">
        <w:rPr>
          <w:rFonts w:ascii="Arial" w:hAnsi="Arial" w:cs="Arial"/>
          <w:sz w:val="20"/>
          <w:szCs w:val="20"/>
          <w:lang w:val="en"/>
        </w:rPr>
        <w:t xml:space="preserve">shall be determined and paid together with their production and business </w:t>
      </w:r>
      <w:r w:rsidR="00C91DAE">
        <w:rPr>
          <w:rFonts w:ascii="Arial" w:hAnsi="Arial" w:cs="Arial"/>
          <w:sz w:val="20"/>
          <w:szCs w:val="20"/>
          <w:lang w:val="en"/>
        </w:rPr>
        <w:t>category</w:t>
      </w:r>
      <w:r w:rsidR="002E2793">
        <w:rPr>
          <w:rFonts w:ascii="Arial" w:hAnsi="Arial" w:cs="Arial"/>
          <w:sz w:val="20"/>
          <w:szCs w:val="20"/>
          <w:lang w:val="en"/>
        </w:rPr>
        <w:t>s compared to</w:t>
      </w:r>
      <w:r w:rsidRPr="00E819E5">
        <w:rPr>
          <w:rFonts w:ascii="Arial" w:hAnsi="Arial" w:cs="Arial"/>
          <w:sz w:val="20"/>
          <w:szCs w:val="20"/>
          <w:lang w:val="en"/>
        </w:rPr>
        <w:t xml:space="preserve"> the </w:t>
      </w:r>
      <w:r w:rsidR="004F0955">
        <w:rPr>
          <w:rFonts w:ascii="Arial" w:hAnsi="Arial" w:cs="Arial"/>
          <w:sz w:val="20"/>
          <w:szCs w:val="20"/>
          <w:lang w:val="en"/>
        </w:rPr>
        <w:t>adjacent year. T</w:t>
      </w:r>
      <w:r w:rsidRPr="00E819E5">
        <w:rPr>
          <w:rFonts w:ascii="Arial" w:hAnsi="Arial" w:cs="Arial"/>
          <w:sz w:val="20"/>
          <w:szCs w:val="20"/>
          <w:lang w:val="en"/>
        </w:rPr>
        <w:t>he preservation and devel</w:t>
      </w:r>
      <w:r w:rsidR="004F0955">
        <w:rPr>
          <w:rFonts w:ascii="Arial" w:hAnsi="Arial" w:cs="Arial"/>
          <w:sz w:val="20"/>
          <w:szCs w:val="20"/>
          <w:lang w:val="en"/>
        </w:rPr>
        <w:t>opment of capital of company</w:t>
      </w:r>
      <w:r w:rsidRPr="00E819E5">
        <w:rPr>
          <w:rFonts w:ascii="Arial" w:hAnsi="Arial" w:cs="Arial"/>
          <w:sz w:val="20"/>
          <w:szCs w:val="20"/>
          <w:lang w:val="en"/>
        </w:rPr>
        <w:t xml:space="preserve"> shall comply with the provi</w:t>
      </w:r>
      <w:r w:rsidR="004F0955">
        <w:rPr>
          <w:rFonts w:ascii="Arial" w:hAnsi="Arial" w:cs="Arial"/>
          <w:sz w:val="20"/>
          <w:szCs w:val="20"/>
          <w:lang w:val="en"/>
        </w:rPr>
        <w:t xml:space="preserve">sions of Decree 53/2016 </w:t>
      </w:r>
      <w:r w:rsidR="00F97697">
        <w:rPr>
          <w:rFonts w:ascii="Arial" w:hAnsi="Arial" w:cs="Arial"/>
          <w:sz w:val="20"/>
          <w:szCs w:val="20"/>
          <w:lang w:val="en"/>
        </w:rPr>
        <w:t>ND-CP</w:t>
      </w:r>
      <w:r w:rsidR="00054B25">
        <w:rPr>
          <w:rFonts w:ascii="Arial" w:hAnsi="Arial" w:cs="Arial"/>
          <w:sz w:val="20"/>
          <w:szCs w:val="20"/>
          <w:lang w:val="en"/>
        </w:rPr>
        <w:t>.</w:t>
      </w:r>
    </w:p>
    <w:p w:rsidR="00F97697" w:rsidRDefault="00AE7914" w:rsidP="00E819E5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E819E5">
        <w:rPr>
          <w:rFonts w:ascii="Arial" w:hAnsi="Arial" w:cs="Arial"/>
          <w:sz w:val="20"/>
          <w:szCs w:val="20"/>
          <w:lang w:val="en"/>
        </w:rPr>
        <w:t>- Remu</w:t>
      </w:r>
      <w:r w:rsidR="00F97697">
        <w:rPr>
          <w:rFonts w:ascii="Arial" w:hAnsi="Arial" w:cs="Arial"/>
          <w:sz w:val="20"/>
          <w:szCs w:val="20"/>
          <w:lang w:val="en"/>
        </w:rPr>
        <w:t xml:space="preserve">neration </w:t>
      </w:r>
      <w:r w:rsidR="00CF7A6F">
        <w:rPr>
          <w:rFonts w:ascii="Arial" w:hAnsi="Arial" w:cs="Arial"/>
          <w:sz w:val="20"/>
          <w:szCs w:val="20"/>
          <w:lang w:val="en"/>
        </w:rPr>
        <w:t>of non-specialized</w:t>
      </w:r>
      <w:r w:rsidR="00CF7A6F" w:rsidRPr="00E819E5">
        <w:rPr>
          <w:rFonts w:ascii="Arial" w:hAnsi="Arial" w:cs="Arial"/>
          <w:sz w:val="20"/>
          <w:szCs w:val="20"/>
          <w:lang w:val="en"/>
        </w:rPr>
        <w:t xml:space="preserve"> manager</w:t>
      </w:r>
      <w:r w:rsidR="00CF7A6F">
        <w:rPr>
          <w:rFonts w:ascii="Arial" w:hAnsi="Arial" w:cs="Arial"/>
          <w:sz w:val="20"/>
          <w:szCs w:val="20"/>
          <w:lang w:val="en"/>
        </w:rPr>
        <w:t>s:</w:t>
      </w:r>
    </w:p>
    <w:p w:rsidR="00F97697" w:rsidRDefault="00AE7914" w:rsidP="00E819E5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E819E5">
        <w:rPr>
          <w:rFonts w:ascii="Arial" w:hAnsi="Arial" w:cs="Arial"/>
          <w:sz w:val="20"/>
          <w:szCs w:val="20"/>
          <w:lang w:val="en"/>
        </w:rPr>
        <w:t xml:space="preserve">+ </w:t>
      </w:r>
      <w:r w:rsidR="008303E6">
        <w:rPr>
          <w:rFonts w:ascii="Arial" w:hAnsi="Arial" w:cs="Arial"/>
          <w:sz w:val="20"/>
          <w:szCs w:val="20"/>
          <w:lang w:val="en"/>
        </w:rPr>
        <w:t>M</w:t>
      </w:r>
      <w:r w:rsidRPr="00E819E5">
        <w:rPr>
          <w:rFonts w:ascii="Arial" w:hAnsi="Arial" w:cs="Arial"/>
          <w:sz w:val="20"/>
          <w:szCs w:val="20"/>
          <w:lang w:val="en"/>
        </w:rPr>
        <w:t>embers of the Board of Direct</w:t>
      </w:r>
      <w:r w:rsidR="008303E6">
        <w:rPr>
          <w:rFonts w:ascii="Arial" w:hAnsi="Arial" w:cs="Arial"/>
          <w:sz w:val="20"/>
          <w:szCs w:val="20"/>
          <w:lang w:val="en"/>
        </w:rPr>
        <w:t xml:space="preserve">ors and the head of the </w:t>
      </w:r>
      <w:r w:rsidRPr="00E819E5">
        <w:rPr>
          <w:rFonts w:ascii="Arial" w:hAnsi="Arial" w:cs="Arial"/>
          <w:sz w:val="20"/>
          <w:szCs w:val="20"/>
          <w:lang w:val="en"/>
        </w:rPr>
        <w:t>Board</w:t>
      </w:r>
      <w:r w:rsidR="008303E6">
        <w:rPr>
          <w:rFonts w:ascii="Arial" w:hAnsi="Arial" w:cs="Arial"/>
          <w:sz w:val="20"/>
          <w:szCs w:val="20"/>
          <w:lang w:val="en"/>
        </w:rPr>
        <w:t xml:space="preserve"> of Supervisors</w:t>
      </w:r>
      <w:r w:rsidRPr="00E819E5">
        <w:rPr>
          <w:rFonts w:ascii="Arial" w:hAnsi="Arial" w:cs="Arial"/>
          <w:sz w:val="20"/>
          <w:szCs w:val="20"/>
          <w:lang w:val="en"/>
        </w:rPr>
        <w:t xml:space="preserve"> shall be paid </w:t>
      </w:r>
      <w:r w:rsidR="00054B25">
        <w:rPr>
          <w:rFonts w:ascii="Arial" w:hAnsi="Arial" w:cs="Arial"/>
          <w:sz w:val="20"/>
          <w:szCs w:val="20"/>
          <w:lang w:val="en"/>
        </w:rPr>
        <w:t>r</w:t>
      </w:r>
      <w:r w:rsidR="008303E6" w:rsidRPr="00E819E5">
        <w:rPr>
          <w:rFonts w:ascii="Arial" w:hAnsi="Arial" w:cs="Arial"/>
          <w:sz w:val="20"/>
          <w:szCs w:val="20"/>
          <w:lang w:val="en"/>
        </w:rPr>
        <w:t xml:space="preserve">emuneration </w:t>
      </w:r>
      <w:r w:rsidRPr="00E819E5">
        <w:rPr>
          <w:rFonts w:ascii="Arial" w:hAnsi="Arial" w:cs="Arial"/>
          <w:sz w:val="20"/>
          <w:szCs w:val="20"/>
          <w:lang w:val="en"/>
        </w:rPr>
        <w:t>equal to 15% of the salary of the mem</w:t>
      </w:r>
      <w:r w:rsidR="00F97697">
        <w:rPr>
          <w:rFonts w:ascii="Arial" w:hAnsi="Arial" w:cs="Arial"/>
          <w:sz w:val="20"/>
          <w:szCs w:val="20"/>
          <w:lang w:val="en"/>
        </w:rPr>
        <w:t>bers of the Board of Directors.</w:t>
      </w:r>
    </w:p>
    <w:p w:rsidR="00F97697" w:rsidRDefault="00AE7914" w:rsidP="00E819E5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E819E5">
        <w:rPr>
          <w:rFonts w:ascii="Arial" w:hAnsi="Arial" w:cs="Arial"/>
          <w:sz w:val="20"/>
          <w:szCs w:val="20"/>
          <w:lang w:val="en"/>
        </w:rPr>
        <w:t xml:space="preserve">+ Members of the Board </w:t>
      </w:r>
      <w:r w:rsidR="009A65E2">
        <w:rPr>
          <w:rFonts w:ascii="Arial" w:hAnsi="Arial" w:cs="Arial"/>
          <w:sz w:val="20"/>
          <w:szCs w:val="20"/>
          <w:lang w:val="en"/>
        </w:rPr>
        <w:t>of Supervisors</w:t>
      </w:r>
      <w:r w:rsidR="009A65E2" w:rsidRPr="00E819E5">
        <w:rPr>
          <w:rFonts w:ascii="Arial" w:hAnsi="Arial" w:cs="Arial"/>
          <w:sz w:val="20"/>
          <w:szCs w:val="20"/>
          <w:lang w:val="en"/>
        </w:rPr>
        <w:t xml:space="preserve"> </w:t>
      </w:r>
      <w:r w:rsidRPr="00E819E5">
        <w:rPr>
          <w:rFonts w:ascii="Arial" w:hAnsi="Arial" w:cs="Arial"/>
          <w:sz w:val="20"/>
          <w:szCs w:val="20"/>
          <w:lang w:val="en"/>
        </w:rPr>
        <w:t xml:space="preserve">and the secretary shall be paid remuneration equal to 15% of the salary of </w:t>
      </w:r>
      <w:r w:rsidR="009A65E2">
        <w:rPr>
          <w:rFonts w:ascii="Arial" w:hAnsi="Arial" w:cs="Arial"/>
          <w:sz w:val="20"/>
          <w:szCs w:val="20"/>
          <w:lang w:val="en"/>
        </w:rPr>
        <w:t xml:space="preserve">chief accountant of </w:t>
      </w:r>
      <w:r w:rsidR="009A65E2" w:rsidRPr="00E819E5">
        <w:rPr>
          <w:rFonts w:ascii="Arial" w:hAnsi="Arial" w:cs="Arial"/>
          <w:sz w:val="20"/>
          <w:szCs w:val="20"/>
          <w:lang w:val="en"/>
        </w:rPr>
        <w:t>the company</w:t>
      </w:r>
      <w:r w:rsidR="009A65E2">
        <w:rPr>
          <w:rFonts w:ascii="Arial" w:hAnsi="Arial" w:cs="Arial"/>
          <w:sz w:val="20"/>
          <w:szCs w:val="20"/>
          <w:lang w:val="en"/>
        </w:rPr>
        <w:t>.</w:t>
      </w:r>
    </w:p>
    <w:p w:rsidR="00F97697" w:rsidRPr="00B51AA5" w:rsidRDefault="00AE7914" w:rsidP="00E819E5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  <w:lang w:val="en"/>
        </w:rPr>
      </w:pPr>
      <w:r w:rsidRPr="00B51AA5">
        <w:rPr>
          <w:rFonts w:ascii="Arial" w:hAnsi="Arial" w:cs="Arial"/>
          <w:b/>
          <w:sz w:val="20"/>
          <w:szCs w:val="20"/>
          <w:u w:val="single"/>
          <w:lang w:val="en"/>
        </w:rPr>
        <w:t>Article 4:</w:t>
      </w:r>
      <w:r w:rsidR="00B51AA5">
        <w:rPr>
          <w:rFonts w:ascii="Arial" w:hAnsi="Arial" w:cs="Arial"/>
          <w:b/>
          <w:sz w:val="20"/>
          <w:szCs w:val="20"/>
          <w:lang w:val="en"/>
        </w:rPr>
        <w:t xml:space="preserve"> Approve </w:t>
      </w:r>
      <w:r w:rsidRPr="00B51AA5">
        <w:rPr>
          <w:rFonts w:ascii="Arial" w:hAnsi="Arial" w:cs="Arial"/>
          <w:b/>
          <w:sz w:val="20"/>
          <w:szCs w:val="20"/>
          <w:lang w:val="en"/>
        </w:rPr>
        <w:t xml:space="preserve">the proposal to select </w:t>
      </w:r>
      <w:r w:rsidR="00B51AA5">
        <w:rPr>
          <w:rFonts w:ascii="Arial" w:hAnsi="Arial" w:cs="Arial"/>
          <w:b/>
          <w:sz w:val="20"/>
          <w:szCs w:val="20"/>
          <w:lang w:val="en"/>
        </w:rPr>
        <w:t xml:space="preserve">the unit to audit </w:t>
      </w:r>
      <w:r w:rsidRPr="00B51AA5">
        <w:rPr>
          <w:rFonts w:ascii="Arial" w:hAnsi="Arial" w:cs="Arial"/>
          <w:b/>
          <w:sz w:val="20"/>
          <w:szCs w:val="20"/>
          <w:lang w:val="en"/>
        </w:rPr>
        <w:t>Company's financial statements for 2017 (</w:t>
      </w:r>
      <w:r w:rsidR="00B51AA5">
        <w:rPr>
          <w:rFonts w:ascii="Arial" w:hAnsi="Arial" w:cs="Arial"/>
          <w:b/>
          <w:sz w:val="20"/>
          <w:szCs w:val="20"/>
          <w:lang w:val="en"/>
        </w:rPr>
        <w:t xml:space="preserve">According to </w:t>
      </w:r>
      <w:r w:rsidRPr="00B51AA5">
        <w:rPr>
          <w:rFonts w:ascii="Arial" w:hAnsi="Arial" w:cs="Arial"/>
          <w:b/>
          <w:sz w:val="20"/>
          <w:szCs w:val="20"/>
          <w:lang w:val="en"/>
        </w:rPr>
        <w:t>Report No. 68 / L62-2017)</w:t>
      </w:r>
    </w:p>
    <w:p w:rsidR="00F97697" w:rsidRPr="00B51AA5" w:rsidRDefault="00AE7914" w:rsidP="00E819E5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  <w:lang w:val="en"/>
        </w:rPr>
      </w:pPr>
      <w:r w:rsidRPr="00B51AA5">
        <w:rPr>
          <w:rFonts w:ascii="Arial" w:hAnsi="Arial" w:cs="Arial"/>
          <w:b/>
          <w:sz w:val="20"/>
          <w:szCs w:val="20"/>
          <w:u w:val="single"/>
          <w:lang w:val="en"/>
        </w:rPr>
        <w:t>Article 5:</w:t>
      </w:r>
      <w:r w:rsidR="00F57D18">
        <w:rPr>
          <w:rFonts w:ascii="Arial" w:hAnsi="Arial" w:cs="Arial"/>
          <w:b/>
          <w:sz w:val="20"/>
          <w:szCs w:val="20"/>
          <w:lang w:val="en"/>
        </w:rPr>
        <w:t xml:space="preserve"> Approve the plan of issuing</w:t>
      </w:r>
      <w:r w:rsidR="00F57D18" w:rsidRPr="00B51AA5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="00B51AA5">
        <w:rPr>
          <w:rFonts w:ascii="Arial" w:hAnsi="Arial" w:cs="Arial"/>
          <w:b/>
          <w:sz w:val="20"/>
          <w:szCs w:val="20"/>
          <w:lang w:val="en"/>
        </w:rPr>
        <w:t xml:space="preserve">share </w:t>
      </w:r>
      <w:r w:rsidRPr="00B51AA5">
        <w:rPr>
          <w:rFonts w:ascii="Arial" w:hAnsi="Arial" w:cs="Arial"/>
          <w:b/>
          <w:sz w:val="20"/>
          <w:szCs w:val="20"/>
          <w:lang w:val="en"/>
        </w:rPr>
        <w:t xml:space="preserve">to increase chartered capital in 2017 </w:t>
      </w:r>
      <w:r w:rsidR="00F57D18">
        <w:rPr>
          <w:rFonts w:ascii="Arial" w:hAnsi="Arial" w:cs="Arial"/>
          <w:b/>
          <w:sz w:val="20"/>
          <w:szCs w:val="20"/>
          <w:lang w:val="en"/>
        </w:rPr>
        <w:t>at Report No.69</w:t>
      </w:r>
      <w:r w:rsidRPr="00B51AA5">
        <w:rPr>
          <w:rFonts w:ascii="Arial" w:hAnsi="Arial" w:cs="Arial"/>
          <w:b/>
          <w:sz w:val="20"/>
          <w:szCs w:val="20"/>
          <w:lang w:val="en"/>
        </w:rPr>
        <w:t>/</w:t>
      </w:r>
      <w:r w:rsidR="00F57D18">
        <w:rPr>
          <w:rFonts w:ascii="Arial" w:hAnsi="Arial" w:cs="Arial"/>
          <w:b/>
          <w:sz w:val="20"/>
          <w:szCs w:val="20"/>
          <w:lang w:val="en"/>
        </w:rPr>
        <w:t>HDQT</w:t>
      </w:r>
      <w:r w:rsidRPr="00B51AA5">
        <w:rPr>
          <w:rFonts w:ascii="Arial" w:hAnsi="Arial" w:cs="Arial"/>
          <w:b/>
          <w:sz w:val="20"/>
          <w:szCs w:val="20"/>
          <w:lang w:val="en"/>
        </w:rPr>
        <w:t xml:space="preserve"> L62-2017 (</w:t>
      </w:r>
      <w:r w:rsidR="00F57D18">
        <w:rPr>
          <w:rFonts w:ascii="Arial" w:hAnsi="Arial" w:cs="Arial"/>
          <w:b/>
          <w:sz w:val="20"/>
          <w:szCs w:val="20"/>
          <w:lang w:val="en"/>
        </w:rPr>
        <w:t>C</w:t>
      </w:r>
      <w:r w:rsidRPr="00B51AA5">
        <w:rPr>
          <w:rFonts w:ascii="Arial" w:hAnsi="Arial" w:cs="Arial"/>
          <w:b/>
          <w:sz w:val="20"/>
          <w:szCs w:val="20"/>
          <w:lang w:val="en"/>
        </w:rPr>
        <w:t xml:space="preserve">ontinue the </w:t>
      </w:r>
      <w:r w:rsidR="00F57D18" w:rsidRPr="00B51AA5">
        <w:rPr>
          <w:rFonts w:ascii="Arial" w:hAnsi="Arial" w:cs="Arial"/>
          <w:b/>
          <w:sz w:val="20"/>
          <w:szCs w:val="20"/>
          <w:lang w:val="en"/>
        </w:rPr>
        <w:t xml:space="preserve">approved </w:t>
      </w:r>
      <w:r w:rsidRPr="00B51AA5">
        <w:rPr>
          <w:rFonts w:ascii="Arial" w:hAnsi="Arial" w:cs="Arial"/>
          <w:b/>
          <w:sz w:val="20"/>
          <w:szCs w:val="20"/>
          <w:lang w:val="en"/>
        </w:rPr>
        <w:t xml:space="preserve">content at the General Meeting of </w:t>
      </w:r>
      <w:r w:rsidR="00F57D18">
        <w:rPr>
          <w:rFonts w:ascii="Arial" w:hAnsi="Arial" w:cs="Arial"/>
          <w:b/>
          <w:sz w:val="20"/>
          <w:szCs w:val="20"/>
          <w:lang w:val="en"/>
        </w:rPr>
        <w:t>Shareholders</w:t>
      </w:r>
      <w:r w:rsidRPr="00B51AA5">
        <w:rPr>
          <w:rFonts w:ascii="Arial" w:hAnsi="Arial" w:cs="Arial"/>
          <w:b/>
          <w:sz w:val="20"/>
          <w:szCs w:val="20"/>
          <w:lang w:val="en"/>
        </w:rPr>
        <w:t>)</w:t>
      </w:r>
    </w:p>
    <w:p w:rsidR="00F97697" w:rsidRPr="00B51AA5" w:rsidRDefault="00AE7914" w:rsidP="00E819E5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  <w:lang w:val="en"/>
        </w:rPr>
      </w:pPr>
      <w:r w:rsidRPr="00B51AA5">
        <w:rPr>
          <w:rFonts w:ascii="Arial" w:hAnsi="Arial" w:cs="Arial"/>
          <w:b/>
          <w:sz w:val="20"/>
          <w:szCs w:val="20"/>
          <w:u w:val="single"/>
          <w:lang w:val="en"/>
        </w:rPr>
        <w:t>Article 6:</w:t>
      </w:r>
      <w:r w:rsidR="00F57D18">
        <w:rPr>
          <w:rFonts w:ascii="Arial" w:hAnsi="Arial" w:cs="Arial"/>
          <w:b/>
          <w:sz w:val="20"/>
          <w:szCs w:val="20"/>
          <w:lang w:val="en"/>
        </w:rPr>
        <w:t xml:space="preserve"> Approve the dismission and </w:t>
      </w:r>
      <w:r w:rsidRPr="00B51AA5">
        <w:rPr>
          <w:rFonts w:ascii="Arial" w:hAnsi="Arial" w:cs="Arial"/>
          <w:b/>
          <w:sz w:val="20"/>
          <w:szCs w:val="20"/>
          <w:lang w:val="en"/>
        </w:rPr>
        <w:t>additional</w:t>
      </w:r>
      <w:r w:rsidR="00F57D18">
        <w:rPr>
          <w:rFonts w:ascii="Arial" w:hAnsi="Arial" w:cs="Arial"/>
          <w:b/>
          <w:sz w:val="20"/>
          <w:szCs w:val="20"/>
          <w:lang w:val="en"/>
        </w:rPr>
        <w:t xml:space="preserve"> election</w:t>
      </w:r>
      <w:r w:rsidRPr="00B51AA5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="00F57D18">
        <w:rPr>
          <w:rFonts w:ascii="Arial" w:hAnsi="Arial" w:cs="Arial"/>
          <w:b/>
          <w:sz w:val="20"/>
          <w:szCs w:val="20"/>
          <w:lang w:val="en"/>
        </w:rPr>
        <w:t xml:space="preserve">of </w:t>
      </w:r>
      <w:r w:rsidRPr="00B51AA5">
        <w:rPr>
          <w:rFonts w:ascii="Arial" w:hAnsi="Arial" w:cs="Arial"/>
          <w:b/>
          <w:sz w:val="20"/>
          <w:szCs w:val="20"/>
          <w:lang w:val="en"/>
        </w:rPr>
        <w:t>members of the Board of Dire</w:t>
      </w:r>
      <w:r w:rsidR="00F97697" w:rsidRPr="00B51AA5">
        <w:rPr>
          <w:rFonts w:ascii="Arial" w:hAnsi="Arial" w:cs="Arial"/>
          <w:b/>
          <w:sz w:val="20"/>
          <w:szCs w:val="20"/>
          <w:lang w:val="en"/>
        </w:rPr>
        <w:t>ctors for the term of 2014-2019</w:t>
      </w:r>
    </w:p>
    <w:p w:rsidR="00F57D18" w:rsidRDefault="00F57D18" w:rsidP="00F57D18">
      <w:pPr>
        <w:numPr>
          <w:ilvl w:val="0"/>
          <w:numId w:val="9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Dismiss</w:t>
      </w:r>
      <w:r w:rsidR="00AE7914" w:rsidRPr="00E819E5">
        <w:rPr>
          <w:rFonts w:ascii="Arial" w:hAnsi="Arial" w:cs="Arial"/>
          <w:sz w:val="20"/>
          <w:szCs w:val="20"/>
          <w:lang w:val="en"/>
        </w:rPr>
        <w:t xml:space="preserve"> Mr. Nguyen Q</w:t>
      </w:r>
      <w:r>
        <w:rPr>
          <w:rFonts w:ascii="Arial" w:hAnsi="Arial" w:cs="Arial"/>
          <w:sz w:val="20"/>
          <w:szCs w:val="20"/>
          <w:lang w:val="en"/>
        </w:rPr>
        <w:t>uoc Hung - Member of the Board of Directors.</w:t>
      </w:r>
    </w:p>
    <w:p w:rsidR="00F97697" w:rsidRDefault="00F57D18" w:rsidP="00F57D18">
      <w:pPr>
        <w:numPr>
          <w:ilvl w:val="0"/>
          <w:numId w:val="9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Elect </w:t>
      </w:r>
      <w:r w:rsidR="00AE7914" w:rsidRPr="00E819E5">
        <w:rPr>
          <w:rFonts w:ascii="Arial" w:hAnsi="Arial" w:cs="Arial"/>
          <w:sz w:val="20"/>
          <w:szCs w:val="20"/>
          <w:lang w:val="en"/>
        </w:rPr>
        <w:t>01 member of Board of Direc</w:t>
      </w:r>
      <w:r>
        <w:rPr>
          <w:rFonts w:ascii="Arial" w:hAnsi="Arial" w:cs="Arial"/>
          <w:sz w:val="20"/>
          <w:szCs w:val="20"/>
          <w:lang w:val="en"/>
        </w:rPr>
        <w:t>tors in additon</w:t>
      </w:r>
      <w:r w:rsidR="00054B25">
        <w:rPr>
          <w:rFonts w:ascii="Arial" w:hAnsi="Arial" w:cs="Arial"/>
          <w:sz w:val="20"/>
          <w:szCs w:val="20"/>
          <w:lang w:val="en"/>
        </w:rPr>
        <w:t>.</w:t>
      </w:r>
    </w:p>
    <w:p w:rsidR="00F57D18" w:rsidRPr="00B51AA5" w:rsidRDefault="00AE7914" w:rsidP="00F57D18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  <w:lang w:val="en"/>
        </w:rPr>
      </w:pPr>
      <w:r w:rsidRPr="00F57D18">
        <w:rPr>
          <w:rFonts w:ascii="Arial" w:hAnsi="Arial" w:cs="Arial"/>
          <w:b/>
          <w:sz w:val="20"/>
          <w:szCs w:val="20"/>
          <w:u w:val="single"/>
          <w:lang w:val="en"/>
        </w:rPr>
        <w:t>Article 7:</w:t>
      </w:r>
      <w:r w:rsidR="00F57D18">
        <w:rPr>
          <w:rFonts w:ascii="Arial" w:hAnsi="Arial" w:cs="Arial"/>
          <w:b/>
          <w:sz w:val="20"/>
          <w:szCs w:val="20"/>
          <w:lang w:val="en"/>
        </w:rPr>
        <w:t xml:space="preserve"> Approve</w:t>
      </w:r>
      <w:r w:rsidRPr="00F57D18">
        <w:rPr>
          <w:rFonts w:ascii="Arial" w:hAnsi="Arial" w:cs="Arial"/>
          <w:b/>
          <w:sz w:val="20"/>
          <w:szCs w:val="20"/>
          <w:lang w:val="en"/>
        </w:rPr>
        <w:t xml:space="preserve"> of the results of </w:t>
      </w:r>
      <w:r w:rsidR="00F57D18" w:rsidRPr="00B51AA5">
        <w:rPr>
          <w:rFonts w:ascii="Arial" w:hAnsi="Arial" w:cs="Arial"/>
          <w:b/>
          <w:sz w:val="20"/>
          <w:szCs w:val="20"/>
          <w:lang w:val="en"/>
        </w:rPr>
        <w:t>additional</w:t>
      </w:r>
      <w:r w:rsidR="00F57D18">
        <w:rPr>
          <w:rFonts w:ascii="Arial" w:hAnsi="Arial" w:cs="Arial"/>
          <w:b/>
          <w:sz w:val="20"/>
          <w:szCs w:val="20"/>
          <w:lang w:val="en"/>
        </w:rPr>
        <w:t xml:space="preserve"> election</w:t>
      </w:r>
      <w:r w:rsidR="00F57D18" w:rsidRPr="00B51AA5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="00F57D18">
        <w:rPr>
          <w:rFonts w:ascii="Arial" w:hAnsi="Arial" w:cs="Arial"/>
          <w:b/>
          <w:sz w:val="20"/>
          <w:szCs w:val="20"/>
          <w:lang w:val="en"/>
        </w:rPr>
        <w:t xml:space="preserve">of </w:t>
      </w:r>
      <w:r w:rsidR="00F57D18" w:rsidRPr="00B51AA5">
        <w:rPr>
          <w:rFonts w:ascii="Arial" w:hAnsi="Arial" w:cs="Arial"/>
          <w:b/>
          <w:sz w:val="20"/>
          <w:szCs w:val="20"/>
          <w:lang w:val="en"/>
        </w:rPr>
        <w:t>members of the Board of Directors for the term of 2014-2019</w:t>
      </w:r>
    </w:p>
    <w:p w:rsidR="00F97697" w:rsidRPr="00F97697" w:rsidRDefault="00F57D18" w:rsidP="00F9769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Mr. Do Tien Thanh is elected </w:t>
      </w:r>
      <w:r w:rsidR="00AE7914" w:rsidRPr="00E819E5">
        <w:rPr>
          <w:rFonts w:ascii="Arial" w:hAnsi="Arial" w:cs="Arial"/>
          <w:sz w:val="20"/>
          <w:szCs w:val="20"/>
          <w:lang w:val="en"/>
        </w:rPr>
        <w:t>the</w:t>
      </w:r>
      <w:r>
        <w:rPr>
          <w:rFonts w:ascii="Arial" w:hAnsi="Arial" w:cs="Arial"/>
          <w:sz w:val="20"/>
          <w:szCs w:val="20"/>
          <w:lang w:val="en"/>
        </w:rPr>
        <w:t xml:space="preserve"> member of</w:t>
      </w:r>
      <w:r w:rsidR="00AE7914" w:rsidRPr="00E819E5">
        <w:rPr>
          <w:rFonts w:ascii="Arial" w:hAnsi="Arial" w:cs="Arial"/>
          <w:sz w:val="20"/>
          <w:szCs w:val="20"/>
          <w:lang w:val="en"/>
        </w:rPr>
        <w:t xml:space="preserve"> Board of Directors of LILAMA 69-2 Joint Stock Company</w:t>
      </w:r>
      <w:r>
        <w:rPr>
          <w:rFonts w:ascii="Arial" w:hAnsi="Arial" w:cs="Arial"/>
          <w:sz w:val="20"/>
          <w:szCs w:val="20"/>
          <w:lang w:val="en"/>
        </w:rPr>
        <w:t>.</w:t>
      </w:r>
      <w:r w:rsidR="00054B25">
        <w:rPr>
          <w:rFonts w:ascii="Arial" w:hAnsi="Arial" w:cs="Arial"/>
          <w:sz w:val="20"/>
          <w:szCs w:val="20"/>
          <w:lang w:val="en"/>
        </w:rPr>
        <w:t xml:space="preserve"> </w:t>
      </w:r>
    </w:p>
    <w:p w:rsidR="004002DB" w:rsidRPr="00054B25" w:rsidRDefault="00AE7914" w:rsidP="00F97697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  <w:lang w:val="en"/>
        </w:rPr>
      </w:pPr>
      <w:r w:rsidRPr="00F57D18">
        <w:rPr>
          <w:rFonts w:ascii="Arial" w:hAnsi="Arial" w:cs="Arial"/>
          <w:b/>
          <w:sz w:val="20"/>
          <w:szCs w:val="20"/>
          <w:u w:val="single"/>
          <w:lang w:val="en"/>
        </w:rPr>
        <w:t>Article 8</w:t>
      </w:r>
      <w:r w:rsidR="00054B25">
        <w:rPr>
          <w:rFonts w:ascii="Arial" w:hAnsi="Arial" w:cs="Arial"/>
          <w:b/>
          <w:sz w:val="20"/>
          <w:szCs w:val="20"/>
          <w:lang w:val="en"/>
        </w:rPr>
        <w:t xml:space="preserve">: </w:t>
      </w:r>
      <w:r w:rsidRPr="00F57D18">
        <w:rPr>
          <w:rFonts w:ascii="Arial" w:hAnsi="Arial" w:cs="Arial"/>
          <w:b/>
          <w:sz w:val="20"/>
          <w:szCs w:val="20"/>
          <w:lang w:val="en"/>
        </w:rPr>
        <w:t xml:space="preserve">This Resolution </w:t>
      </w:r>
      <w:r w:rsidRPr="00054B25">
        <w:rPr>
          <w:rFonts w:ascii="Arial" w:hAnsi="Arial" w:cs="Arial"/>
          <w:b/>
          <w:sz w:val="20"/>
          <w:szCs w:val="20"/>
          <w:lang w:val="en"/>
        </w:rPr>
        <w:t>is approved by the Annual General Meeting of Shareholders of LILAMA 69-2 Joint Stock Company</w:t>
      </w:r>
      <w:r w:rsidR="00054B25" w:rsidRPr="00054B25">
        <w:rPr>
          <w:rFonts w:ascii="Arial" w:hAnsi="Arial" w:cs="Arial"/>
          <w:b/>
          <w:sz w:val="20"/>
          <w:szCs w:val="20"/>
          <w:lang w:val="en"/>
        </w:rPr>
        <w:t xml:space="preserve"> </w:t>
      </w:r>
      <w:r w:rsidR="00681B9F">
        <w:rPr>
          <w:rFonts w:ascii="Arial" w:hAnsi="Arial" w:cs="Arial"/>
          <w:b/>
          <w:sz w:val="20"/>
          <w:szCs w:val="20"/>
          <w:lang w:val="en"/>
        </w:rPr>
        <w:t>in full text at the meeting</w:t>
      </w:r>
    </w:p>
    <w:p w:rsidR="00AE7914" w:rsidRPr="00E819E5" w:rsidRDefault="00AE7914" w:rsidP="00E819E5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  <w:r w:rsidRPr="00E819E5">
        <w:rPr>
          <w:rFonts w:ascii="Arial" w:hAnsi="Arial" w:cs="Arial"/>
          <w:sz w:val="20"/>
          <w:szCs w:val="20"/>
          <w:lang w:val="en"/>
        </w:rPr>
        <w:t xml:space="preserve">The Board </w:t>
      </w:r>
      <w:r w:rsidR="004002DB">
        <w:rPr>
          <w:rFonts w:ascii="Arial" w:hAnsi="Arial" w:cs="Arial"/>
          <w:sz w:val="20"/>
          <w:szCs w:val="20"/>
          <w:lang w:val="en"/>
        </w:rPr>
        <w:t xml:space="preserve">of Directors </w:t>
      </w:r>
      <w:r w:rsidRPr="00E819E5">
        <w:rPr>
          <w:rFonts w:ascii="Arial" w:hAnsi="Arial" w:cs="Arial"/>
          <w:sz w:val="20"/>
          <w:szCs w:val="20"/>
          <w:lang w:val="en"/>
        </w:rPr>
        <w:t xml:space="preserve">shall base this </w:t>
      </w:r>
      <w:r w:rsidR="004002DB">
        <w:rPr>
          <w:rFonts w:ascii="Arial" w:hAnsi="Arial" w:cs="Arial"/>
          <w:sz w:val="20"/>
          <w:szCs w:val="20"/>
          <w:lang w:val="en"/>
        </w:rPr>
        <w:t>r</w:t>
      </w:r>
      <w:r w:rsidR="004002DB" w:rsidRPr="00E819E5">
        <w:rPr>
          <w:rFonts w:ascii="Arial" w:hAnsi="Arial" w:cs="Arial"/>
          <w:sz w:val="20"/>
          <w:szCs w:val="20"/>
          <w:lang w:val="en"/>
        </w:rPr>
        <w:t xml:space="preserve">esolution </w:t>
      </w:r>
      <w:r w:rsidRPr="00E819E5">
        <w:rPr>
          <w:rFonts w:ascii="Arial" w:hAnsi="Arial" w:cs="Arial"/>
          <w:sz w:val="20"/>
          <w:szCs w:val="20"/>
          <w:lang w:val="en"/>
        </w:rPr>
        <w:t>on its implementation</w:t>
      </w:r>
      <w:r w:rsidR="00E73641">
        <w:rPr>
          <w:rFonts w:ascii="Arial" w:hAnsi="Arial" w:cs="Arial"/>
          <w:sz w:val="20"/>
          <w:szCs w:val="20"/>
          <w:lang w:val="en"/>
        </w:rPr>
        <w:t>.</w:t>
      </w:r>
    </w:p>
    <w:p w:rsidR="00552EEF" w:rsidRPr="00E819E5" w:rsidRDefault="00552EEF" w:rsidP="00E819E5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  <w:lang w:val="en"/>
        </w:rPr>
      </w:pPr>
    </w:p>
    <w:p w:rsidR="00350A72" w:rsidRPr="00702089" w:rsidRDefault="00350A72" w:rsidP="000A401C">
      <w:pPr>
        <w:ind w:left="1440"/>
        <w:jc w:val="both"/>
        <w:rPr>
          <w:rFonts w:ascii="Arial" w:hAnsi="Arial" w:cs="Arial"/>
          <w:sz w:val="20"/>
          <w:szCs w:val="20"/>
        </w:rPr>
      </w:pPr>
    </w:p>
    <w:sectPr w:rsidR="00350A72" w:rsidRPr="00702089" w:rsidSect="000A401C"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53F"/>
    <w:multiLevelType w:val="hybridMultilevel"/>
    <w:tmpl w:val="0D525C44"/>
    <w:lvl w:ilvl="0" w:tplc="0534D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8005FE"/>
    <w:multiLevelType w:val="hybridMultilevel"/>
    <w:tmpl w:val="9154DBF8"/>
    <w:lvl w:ilvl="0" w:tplc="1480CF7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F7360"/>
    <w:multiLevelType w:val="hybridMultilevel"/>
    <w:tmpl w:val="F2D6A30A"/>
    <w:lvl w:ilvl="0" w:tplc="0156A0B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516215C"/>
    <w:multiLevelType w:val="hybridMultilevel"/>
    <w:tmpl w:val="978EC1F6"/>
    <w:lvl w:ilvl="0" w:tplc="A4FE3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B70B1"/>
    <w:multiLevelType w:val="multilevel"/>
    <w:tmpl w:val="0AB65C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59671808"/>
    <w:multiLevelType w:val="hybridMultilevel"/>
    <w:tmpl w:val="F0C43280"/>
    <w:lvl w:ilvl="0" w:tplc="C27223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AE2FA3"/>
    <w:multiLevelType w:val="hybridMultilevel"/>
    <w:tmpl w:val="0DAC00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19116DF"/>
    <w:multiLevelType w:val="hybridMultilevel"/>
    <w:tmpl w:val="57EC9152"/>
    <w:lvl w:ilvl="0" w:tplc="5F8879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2D275D"/>
    <w:multiLevelType w:val="hybridMultilevel"/>
    <w:tmpl w:val="A6A0E95E"/>
    <w:lvl w:ilvl="0" w:tplc="6C44FD8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US" w:vendorID="64" w:dllVersion="131078" w:nlCheck="1" w:checkStyle="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17"/>
    <w:rsid w:val="00004D5D"/>
    <w:rsid w:val="00035D81"/>
    <w:rsid w:val="00036EF0"/>
    <w:rsid w:val="00054B25"/>
    <w:rsid w:val="000551CE"/>
    <w:rsid w:val="000564E4"/>
    <w:rsid w:val="000640B8"/>
    <w:rsid w:val="00066140"/>
    <w:rsid w:val="00070260"/>
    <w:rsid w:val="00072925"/>
    <w:rsid w:val="00084FC0"/>
    <w:rsid w:val="00086EDB"/>
    <w:rsid w:val="000A401C"/>
    <w:rsid w:val="000B2685"/>
    <w:rsid w:val="000C3038"/>
    <w:rsid w:val="001007AC"/>
    <w:rsid w:val="00107F8D"/>
    <w:rsid w:val="001122F1"/>
    <w:rsid w:val="00117000"/>
    <w:rsid w:val="001563DA"/>
    <w:rsid w:val="00173B04"/>
    <w:rsid w:val="00191B1F"/>
    <w:rsid w:val="002008BE"/>
    <w:rsid w:val="002405A3"/>
    <w:rsid w:val="002470C8"/>
    <w:rsid w:val="00261D39"/>
    <w:rsid w:val="002673C9"/>
    <w:rsid w:val="002735FD"/>
    <w:rsid w:val="00282D95"/>
    <w:rsid w:val="00292879"/>
    <w:rsid w:val="002A7905"/>
    <w:rsid w:val="002C0CCE"/>
    <w:rsid w:val="002D5A1A"/>
    <w:rsid w:val="002E112C"/>
    <w:rsid w:val="002E2793"/>
    <w:rsid w:val="00350A72"/>
    <w:rsid w:val="00356CEC"/>
    <w:rsid w:val="00361E31"/>
    <w:rsid w:val="00365914"/>
    <w:rsid w:val="00381C47"/>
    <w:rsid w:val="003B1C54"/>
    <w:rsid w:val="003C6386"/>
    <w:rsid w:val="004002DB"/>
    <w:rsid w:val="00400BBA"/>
    <w:rsid w:val="0040178A"/>
    <w:rsid w:val="00403EBC"/>
    <w:rsid w:val="004248C5"/>
    <w:rsid w:val="00432838"/>
    <w:rsid w:val="00440EB4"/>
    <w:rsid w:val="00465E3E"/>
    <w:rsid w:val="00491303"/>
    <w:rsid w:val="004A07D4"/>
    <w:rsid w:val="004A6AD4"/>
    <w:rsid w:val="004D3043"/>
    <w:rsid w:val="004F00A3"/>
    <w:rsid w:val="004F0955"/>
    <w:rsid w:val="004F245C"/>
    <w:rsid w:val="00504F8F"/>
    <w:rsid w:val="00536416"/>
    <w:rsid w:val="00544B04"/>
    <w:rsid w:val="00550615"/>
    <w:rsid w:val="00552EEF"/>
    <w:rsid w:val="005565D0"/>
    <w:rsid w:val="0057384D"/>
    <w:rsid w:val="0058361F"/>
    <w:rsid w:val="005A27D5"/>
    <w:rsid w:val="005B77F3"/>
    <w:rsid w:val="005E6BF1"/>
    <w:rsid w:val="005E7D14"/>
    <w:rsid w:val="005F1E4D"/>
    <w:rsid w:val="005F6157"/>
    <w:rsid w:val="006036A5"/>
    <w:rsid w:val="00604A31"/>
    <w:rsid w:val="00613FF1"/>
    <w:rsid w:val="0064713B"/>
    <w:rsid w:val="00650A82"/>
    <w:rsid w:val="006635E1"/>
    <w:rsid w:val="00677724"/>
    <w:rsid w:val="00681B9F"/>
    <w:rsid w:val="00685DEF"/>
    <w:rsid w:val="006B09D1"/>
    <w:rsid w:val="006B17C1"/>
    <w:rsid w:val="006D6465"/>
    <w:rsid w:val="00702089"/>
    <w:rsid w:val="00734560"/>
    <w:rsid w:val="007729CE"/>
    <w:rsid w:val="00773022"/>
    <w:rsid w:val="0077726B"/>
    <w:rsid w:val="007A6439"/>
    <w:rsid w:val="007C1A93"/>
    <w:rsid w:val="007E3EAE"/>
    <w:rsid w:val="007E7F4D"/>
    <w:rsid w:val="008072BE"/>
    <w:rsid w:val="008303E6"/>
    <w:rsid w:val="00831866"/>
    <w:rsid w:val="00850D9B"/>
    <w:rsid w:val="008669BC"/>
    <w:rsid w:val="0088787B"/>
    <w:rsid w:val="00893BAB"/>
    <w:rsid w:val="00897019"/>
    <w:rsid w:val="008975FC"/>
    <w:rsid w:val="008B670B"/>
    <w:rsid w:val="008B72B6"/>
    <w:rsid w:val="008E4178"/>
    <w:rsid w:val="008E4442"/>
    <w:rsid w:val="008E5792"/>
    <w:rsid w:val="00904AFB"/>
    <w:rsid w:val="00933EB4"/>
    <w:rsid w:val="009839CE"/>
    <w:rsid w:val="009A65E2"/>
    <w:rsid w:val="009C0326"/>
    <w:rsid w:val="009D1B2A"/>
    <w:rsid w:val="009D23E6"/>
    <w:rsid w:val="009E1582"/>
    <w:rsid w:val="00A03F95"/>
    <w:rsid w:val="00A0625C"/>
    <w:rsid w:val="00A1640A"/>
    <w:rsid w:val="00A31280"/>
    <w:rsid w:val="00A317DE"/>
    <w:rsid w:val="00A36EA1"/>
    <w:rsid w:val="00A45090"/>
    <w:rsid w:val="00A65528"/>
    <w:rsid w:val="00A84665"/>
    <w:rsid w:val="00A8489F"/>
    <w:rsid w:val="00A87EB9"/>
    <w:rsid w:val="00A97C74"/>
    <w:rsid w:val="00AA2334"/>
    <w:rsid w:val="00AC5963"/>
    <w:rsid w:val="00AD1384"/>
    <w:rsid w:val="00AD2FB7"/>
    <w:rsid w:val="00AD50E3"/>
    <w:rsid w:val="00AE0F85"/>
    <w:rsid w:val="00AE2D17"/>
    <w:rsid w:val="00AE53AE"/>
    <w:rsid w:val="00AE7914"/>
    <w:rsid w:val="00B2320A"/>
    <w:rsid w:val="00B41DB7"/>
    <w:rsid w:val="00B51AA5"/>
    <w:rsid w:val="00B77D72"/>
    <w:rsid w:val="00B81DD1"/>
    <w:rsid w:val="00BB416D"/>
    <w:rsid w:val="00BB6133"/>
    <w:rsid w:val="00C02F2C"/>
    <w:rsid w:val="00C143F3"/>
    <w:rsid w:val="00C2379C"/>
    <w:rsid w:val="00C23880"/>
    <w:rsid w:val="00C33028"/>
    <w:rsid w:val="00C43D34"/>
    <w:rsid w:val="00C4658C"/>
    <w:rsid w:val="00C51678"/>
    <w:rsid w:val="00C56704"/>
    <w:rsid w:val="00C62120"/>
    <w:rsid w:val="00C661C4"/>
    <w:rsid w:val="00C75128"/>
    <w:rsid w:val="00C91DAE"/>
    <w:rsid w:val="00CB06F3"/>
    <w:rsid w:val="00CB5BB7"/>
    <w:rsid w:val="00CD5C77"/>
    <w:rsid w:val="00CF7A6F"/>
    <w:rsid w:val="00D0213A"/>
    <w:rsid w:val="00D12FFF"/>
    <w:rsid w:val="00D22C7E"/>
    <w:rsid w:val="00D81385"/>
    <w:rsid w:val="00D85AA7"/>
    <w:rsid w:val="00D95397"/>
    <w:rsid w:val="00D96D1A"/>
    <w:rsid w:val="00DA7D17"/>
    <w:rsid w:val="00DC7C2B"/>
    <w:rsid w:val="00DD184D"/>
    <w:rsid w:val="00DD730D"/>
    <w:rsid w:val="00E15FF1"/>
    <w:rsid w:val="00E165D5"/>
    <w:rsid w:val="00E34B02"/>
    <w:rsid w:val="00E459B4"/>
    <w:rsid w:val="00E5045C"/>
    <w:rsid w:val="00E62A17"/>
    <w:rsid w:val="00E653E3"/>
    <w:rsid w:val="00E6763A"/>
    <w:rsid w:val="00E73641"/>
    <w:rsid w:val="00E819E5"/>
    <w:rsid w:val="00E93A86"/>
    <w:rsid w:val="00E94044"/>
    <w:rsid w:val="00EA20E4"/>
    <w:rsid w:val="00EA7FDD"/>
    <w:rsid w:val="00EC46A3"/>
    <w:rsid w:val="00EE536D"/>
    <w:rsid w:val="00EF2513"/>
    <w:rsid w:val="00F4023D"/>
    <w:rsid w:val="00F45FA2"/>
    <w:rsid w:val="00F57816"/>
    <w:rsid w:val="00F57D18"/>
    <w:rsid w:val="00F82309"/>
    <w:rsid w:val="00F84BDF"/>
    <w:rsid w:val="00F907B5"/>
    <w:rsid w:val="00F97697"/>
    <w:rsid w:val="00FA2390"/>
    <w:rsid w:val="00FB6791"/>
    <w:rsid w:val="00FC3359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3A874-7ADA-4E09-932C-F10ED758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CB0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0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9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2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9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3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6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7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9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1: Approve the report on production, business and investment in 2016 and the plan of production, business and investment in 2017 with the following main contents:</vt:lpstr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1: Approve the report on production, business and investment in 2016 and the plan of production, business and investment in 2017 with the following main contents:</dc:title>
  <dc:subject/>
  <dc:creator>VU</dc:creator>
  <cp:keywords/>
  <dc:description/>
  <cp:lastModifiedBy>USER</cp:lastModifiedBy>
  <cp:revision>2</cp:revision>
  <dcterms:created xsi:type="dcterms:W3CDTF">2017-05-10T07:57:00Z</dcterms:created>
  <dcterms:modified xsi:type="dcterms:W3CDTF">2017-05-10T07:57:00Z</dcterms:modified>
</cp:coreProperties>
</file>